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9FC" w:rsidRPr="00E27EED" w:rsidRDefault="00467B31" w:rsidP="00467B31">
      <w:pPr>
        <w:pStyle w:val="Default"/>
        <w:jc w:val="center"/>
        <w:rPr>
          <w:b/>
          <w:caps/>
          <w:sz w:val="32"/>
          <w:szCs w:val="36"/>
          <w:lang w:val="en-US"/>
        </w:rPr>
      </w:pPr>
      <w:r w:rsidRPr="00467B31">
        <w:rPr>
          <w:lang w:val="en-US"/>
        </w:rPr>
        <w:t xml:space="preserve">VTB Bank (Kazakhstan) Subsidiary Joint Stock Company </w:t>
      </w:r>
    </w:p>
    <w:p w:rsidR="002479FC" w:rsidRPr="00E27EED" w:rsidRDefault="002479FC" w:rsidP="000B0C64">
      <w:pPr>
        <w:jc w:val="center"/>
        <w:rPr>
          <w:rFonts w:ascii="Times New Roman" w:hAnsi="Times New Roman" w:cs="Times New Roman"/>
          <w:b/>
          <w:caps/>
          <w:sz w:val="32"/>
          <w:szCs w:val="36"/>
          <w:lang w:val="en-US"/>
        </w:rPr>
      </w:pPr>
    </w:p>
    <w:p w:rsidR="002479FC" w:rsidRPr="00E27EED" w:rsidRDefault="002479FC" w:rsidP="000B0C64">
      <w:pPr>
        <w:jc w:val="center"/>
        <w:rPr>
          <w:rFonts w:ascii="Times New Roman" w:hAnsi="Times New Roman" w:cs="Times New Roman"/>
          <w:b/>
          <w:caps/>
          <w:sz w:val="32"/>
          <w:szCs w:val="36"/>
          <w:lang w:val="en-US"/>
        </w:rPr>
      </w:pPr>
    </w:p>
    <w:p w:rsidR="002479FC" w:rsidRPr="00E27EED" w:rsidRDefault="002479FC" w:rsidP="000B0C64">
      <w:pPr>
        <w:jc w:val="center"/>
        <w:rPr>
          <w:rFonts w:ascii="Times New Roman" w:hAnsi="Times New Roman" w:cs="Times New Roman"/>
          <w:b/>
          <w:caps/>
          <w:sz w:val="32"/>
          <w:szCs w:val="36"/>
          <w:lang w:val="en-US"/>
        </w:rPr>
      </w:pPr>
    </w:p>
    <w:p w:rsidR="002479FC" w:rsidRPr="00E27EED" w:rsidRDefault="002479FC" w:rsidP="000B0C64">
      <w:pPr>
        <w:jc w:val="center"/>
        <w:rPr>
          <w:rFonts w:ascii="Times New Roman" w:hAnsi="Times New Roman" w:cs="Times New Roman"/>
          <w:b/>
          <w:caps/>
          <w:sz w:val="32"/>
          <w:szCs w:val="36"/>
          <w:lang w:val="en-US"/>
        </w:rPr>
      </w:pPr>
    </w:p>
    <w:p w:rsidR="002479FC" w:rsidRPr="00E27EED" w:rsidRDefault="002479FC" w:rsidP="000B0C64">
      <w:pPr>
        <w:jc w:val="center"/>
        <w:rPr>
          <w:rFonts w:ascii="Times New Roman" w:hAnsi="Times New Roman" w:cs="Times New Roman"/>
          <w:b/>
          <w:caps/>
          <w:sz w:val="32"/>
          <w:szCs w:val="36"/>
          <w:lang w:val="en-US"/>
        </w:rPr>
      </w:pPr>
    </w:p>
    <w:p w:rsidR="002479FC" w:rsidRPr="00E27EED" w:rsidRDefault="002479FC" w:rsidP="000B0C64">
      <w:pPr>
        <w:jc w:val="center"/>
        <w:rPr>
          <w:rFonts w:ascii="Times New Roman" w:hAnsi="Times New Roman" w:cs="Times New Roman"/>
          <w:b/>
          <w:caps/>
          <w:sz w:val="32"/>
          <w:szCs w:val="36"/>
          <w:lang w:val="en-US"/>
        </w:rPr>
      </w:pPr>
    </w:p>
    <w:p w:rsidR="002479FC" w:rsidRPr="00467B31" w:rsidRDefault="00A77D16" w:rsidP="000B0C64">
      <w:pPr>
        <w:jc w:val="center"/>
        <w:rPr>
          <w:rFonts w:ascii="Times New Roman" w:hAnsi="Times New Roman" w:cs="Times New Roman"/>
          <w:b/>
          <w:caps/>
          <w:sz w:val="28"/>
          <w:szCs w:val="36"/>
          <w:lang w:val="en-US"/>
        </w:rPr>
      </w:pPr>
      <w:r w:rsidRPr="00E27EED">
        <w:rPr>
          <w:rFonts w:ascii="Times New Roman" w:hAnsi="Times New Roman" w:cs="Times New Roman"/>
          <w:b/>
          <w:caps/>
          <w:sz w:val="28"/>
          <w:szCs w:val="36"/>
          <w:lang w:val="en-US"/>
        </w:rPr>
        <w:t xml:space="preserve">Information on </w:t>
      </w:r>
      <w:r w:rsidR="00782396">
        <w:rPr>
          <w:rFonts w:ascii="Times New Roman" w:hAnsi="Times New Roman" w:cs="Times New Roman"/>
          <w:b/>
          <w:caps/>
          <w:sz w:val="28"/>
          <w:szCs w:val="36"/>
          <w:lang w:val="en-US"/>
        </w:rPr>
        <w:t xml:space="preserve">accepted </w:t>
      </w:r>
      <w:r w:rsidRPr="00E27EED">
        <w:rPr>
          <w:rFonts w:ascii="Times New Roman" w:hAnsi="Times New Roman" w:cs="Times New Roman"/>
          <w:b/>
          <w:caps/>
          <w:sz w:val="28"/>
          <w:szCs w:val="36"/>
          <w:lang w:val="en-US"/>
        </w:rPr>
        <w:t>Risk</w:t>
      </w:r>
      <w:r w:rsidR="00782396">
        <w:rPr>
          <w:rFonts w:ascii="Times New Roman" w:hAnsi="Times New Roman" w:cs="Times New Roman"/>
          <w:b/>
          <w:caps/>
          <w:sz w:val="28"/>
          <w:szCs w:val="36"/>
          <w:lang w:val="en-US"/>
        </w:rPr>
        <w:t>s</w:t>
      </w:r>
      <w:r w:rsidRPr="00E27EED">
        <w:rPr>
          <w:rFonts w:ascii="Times New Roman" w:hAnsi="Times New Roman" w:cs="Times New Roman"/>
          <w:b/>
          <w:caps/>
          <w:sz w:val="28"/>
          <w:szCs w:val="36"/>
          <w:lang w:val="en-US"/>
        </w:rPr>
        <w:t>, Risk Management Pr</w:t>
      </w:r>
      <w:r w:rsidR="000D62A2">
        <w:rPr>
          <w:rFonts w:ascii="Times New Roman" w:hAnsi="Times New Roman" w:cs="Times New Roman"/>
          <w:b/>
          <w:caps/>
          <w:sz w:val="28"/>
          <w:szCs w:val="36"/>
          <w:lang w:val="en-US"/>
        </w:rPr>
        <w:t>OCEDURES</w:t>
      </w:r>
      <w:r w:rsidRPr="00E27EED">
        <w:rPr>
          <w:rFonts w:ascii="Times New Roman" w:hAnsi="Times New Roman" w:cs="Times New Roman"/>
          <w:b/>
          <w:caps/>
          <w:sz w:val="28"/>
          <w:szCs w:val="36"/>
          <w:lang w:val="en-US"/>
        </w:rPr>
        <w:t xml:space="preserve"> and Capital</w:t>
      </w:r>
      <w:r w:rsidRPr="00E27EED">
        <w:rPr>
          <w:rFonts w:ascii="Times New Roman" w:hAnsi="Times New Roman" w:cs="Times New Roman"/>
          <w:b/>
          <w:caps/>
          <w:sz w:val="28"/>
          <w:szCs w:val="36"/>
          <w:lang w:val="en-US"/>
        </w:rPr>
        <w:br/>
      </w:r>
      <w:r w:rsidR="00467B31" w:rsidRPr="00467B31">
        <w:rPr>
          <w:rFonts w:ascii="Times New Roman" w:hAnsi="Times New Roman" w:cs="Times New Roman"/>
          <w:b/>
          <w:caps/>
          <w:sz w:val="28"/>
          <w:szCs w:val="36"/>
          <w:lang w:val="en-US"/>
        </w:rPr>
        <w:t>Subsidiary JSC VTB Bank (Kazakhstan)</w:t>
      </w:r>
      <w:r w:rsidR="002479FC" w:rsidRPr="00467B31">
        <w:rPr>
          <w:rFonts w:ascii="Times New Roman" w:hAnsi="Times New Roman" w:cs="Times New Roman"/>
          <w:b/>
          <w:caps/>
          <w:sz w:val="28"/>
          <w:szCs w:val="36"/>
          <w:lang w:val="en-US"/>
        </w:rPr>
        <w:t xml:space="preserve"> </w:t>
      </w:r>
    </w:p>
    <w:p w:rsidR="002479FC" w:rsidRPr="00351CED" w:rsidRDefault="002479FC" w:rsidP="000B0C64">
      <w:pPr>
        <w:jc w:val="center"/>
        <w:rPr>
          <w:rFonts w:ascii="Times New Roman" w:hAnsi="Times New Roman" w:cs="Times New Roman"/>
          <w:b/>
          <w:caps/>
          <w:sz w:val="28"/>
          <w:szCs w:val="36"/>
          <w:lang w:val="de-DE"/>
        </w:rPr>
      </w:pPr>
      <w:r w:rsidRPr="00351CED">
        <w:rPr>
          <w:rFonts w:ascii="Times New Roman" w:hAnsi="Times New Roman" w:cs="Times New Roman"/>
          <w:b/>
          <w:caps/>
          <w:sz w:val="28"/>
          <w:szCs w:val="36"/>
          <w:lang w:val="de-DE"/>
        </w:rPr>
        <w:t>for 2025</w:t>
      </w: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9D17E1" w:rsidRPr="00351CED" w:rsidRDefault="009D17E1" w:rsidP="000B0C64">
      <w:pPr>
        <w:jc w:val="center"/>
        <w:rPr>
          <w:rStyle w:val="s19"/>
          <w:color w:val="auto"/>
          <w:sz w:val="24"/>
          <w:szCs w:val="24"/>
          <w:lang w:val="de-DE"/>
        </w:rPr>
      </w:pPr>
    </w:p>
    <w:p w:rsidR="002479FC" w:rsidRPr="00E27EED" w:rsidRDefault="009D17E1" w:rsidP="000B0C64">
      <w:pPr>
        <w:jc w:val="center"/>
        <w:rPr>
          <w:b/>
          <w:caps/>
          <w:sz w:val="32"/>
          <w:szCs w:val="36"/>
          <w:lang w:val="en-US"/>
        </w:rPr>
      </w:pPr>
      <w:r w:rsidRPr="00E27EED">
        <w:rPr>
          <w:rStyle w:val="s19"/>
          <w:color w:val="auto"/>
          <w:sz w:val="24"/>
          <w:szCs w:val="24"/>
          <w:lang w:val="en-US"/>
        </w:rPr>
        <w:t>Almaty,</w:t>
      </w:r>
      <w:r w:rsidR="0039638B" w:rsidRPr="00E27EED">
        <w:rPr>
          <w:rStyle w:val="s19"/>
          <w:color w:val="auto"/>
          <w:sz w:val="24"/>
          <w:szCs w:val="24"/>
          <w:lang w:val="en-US"/>
        </w:rPr>
        <w:t xml:space="preserve"> 2026</w:t>
      </w:r>
      <w:r w:rsidR="002479FC" w:rsidRPr="00E27EED">
        <w:rPr>
          <w:rStyle w:val="s19"/>
          <w:color w:val="auto"/>
          <w:sz w:val="24"/>
          <w:szCs w:val="24"/>
          <w:lang w:val="en-US"/>
        </w:rPr>
        <w:br w:type="page"/>
      </w:r>
    </w:p>
    <w:sdt>
      <w:sdtPr>
        <w:rPr>
          <w:rFonts w:asciiTheme="minorHAnsi" w:eastAsiaTheme="minorHAnsi" w:hAnsiTheme="minorHAnsi" w:cstheme="minorBidi"/>
          <w:color w:val="auto"/>
          <w:sz w:val="22"/>
          <w:szCs w:val="22"/>
          <w:lang w:val="en-US" w:eastAsia="en-US"/>
        </w:rPr>
        <w:id w:val="-436829231"/>
        <w:docPartObj>
          <w:docPartGallery w:val="Table of Contents"/>
          <w:docPartUnique/>
        </w:docPartObj>
      </w:sdtPr>
      <w:sdtEndPr>
        <w:rPr>
          <w:b/>
          <w:bCs/>
        </w:rPr>
      </w:sdtEndPr>
      <w:sdtContent>
        <w:p w:rsidR="00B41C5F" w:rsidRPr="00E27EED" w:rsidRDefault="00B41C5F" w:rsidP="000B0C64">
          <w:pPr>
            <w:pStyle w:val="af"/>
            <w:rPr>
              <w:lang w:val="en-US"/>
            </w:rPr>
          </w:pPr>
          <w:r w:rsidRPr="00E27EED">
            <w:rPr>
              <w:lang w:val="en-US"/>
            </w:rPr>
            <w:t>Table of Contents</w:t>
          </w:r>
        </w:p>
        <w:p w:rsidR="000D62A2" w:rsidRDefault="00B41C5F">
          <w:pPr>
            <w:pStyle w:val="11"/>
            <w:tabs>
              <w:tab w:val="right" w:leader="dot" w:pos="9345"/>
            </w:tabs>
            <w:rPr>
              <w:rFonts w:eastAsiaTheme="minorEastAsia"/>
              <w:noProof/>
              <w:lang w:val="en-US"/>
            </w:rPr>
          </w:pPr>
          <w:r w:rsidRPr="00E27EED">
            <w:rPr>
              <w:lang w:val="en-US"/>
            </w:rPr>
            <w:fldChar w:fldCharType="begin"/>
          </w:r>
          <w:r w:rsidRPr="00E27EED">
            <w:rPr>
              <w:lang w:val="en-US"/>
            </w:rPr>
            <w:instrText xml:space="preserve"> TOC \o "1-3" \h \z \u </w:instrText>
          </w:r>
          <w:r w:rsidRPr="00E27EED">
            <w:rPr>
              <w:lang w:val="en-US"/>
            </w:rPr>
            <w:fldChar w:fldCharType="separate"/>
          </w:r>
          <w:hyperlink w:anchor="_Toc233981981" w:history="1">
            <w:r w:rsidR="000D62A2" w:rsidRPr="004B5634">
              <w:rPr>
                <w:rStyle w:val="ab"/>
                <w:rFonts w:ascii="Times New Roman" w:hAnsi="Times New Roman" w:cs="Times New Roman"/>
                <w:b/>
                <w:noProof/>
                <w:lang w:val="en-US"/>
              </w:rPr>
              <w:t>1. Brief Information on the Bank’s Main Activities</w:t>
            </w:r>
            <w:r w:rsidR="000D62A2">
              <w:rPr>
                <w:noProof/>
                <w:webHidden/>
              </w:rPr>
              <w:tab/>
            </w:r>
            <w:r w:rsidR="000D62A2">
              <w:rPr>
                <w:noProof/>
                <w:webHidden/>
              </w:rPr>
              <w:fldChar w:fldCharType="begin"/>
            </w:r>
            <w:r w:rsidR="000D62A2">
              <w:rPr>
                <w:noProof/>
                <w:webHidden/>
              </w:rPr>
              <w:instrText xml:space="preserve"> PAGEREF _Toc233981981 \h </w:instrText>
            </w:r>
            <w:r w:rsidR="000D62A2">
              <w:rPr>
                <w:noProof/>
                <w:webHidden/>
              </w:rPr>
            </w:r>
            <w:r w:rsidR="000D62A2">
              <w:rPr>
                <w:noProof/>
                <w:webHidden/>
              </w:rPr>
              <w:fldChar w:fldCharType="separate"/>
            </w:r>
            <w:r w:rsidR="00467B31">
              <w:rPr>
                <w:noProof/>
                <w:webHidden/>
              </w:rPr>
              <w:t>4</w:t>
            </w:r>
            <w:r w:rsidR="000D62A2">
              <w:rPr>
                <w:noProof/>
                <w:webHidden/>
              </w:rPr>
              <w:fldChar w:fldCharType="end"/>
            </w:r>
          </w:hyperlink>
        </w:p>
        <w:p w:rsidR="000D62A2" w:rsidRDefault="00AF13AC">
          <w:pPr>
            <w:pStyle w:val="11"/>
            <w:tabs>
              <w:tab w:val="right" w:leader="dot" w:pos="9345"/>
            </w:tabs>
            <w:rPr>
              <w:rFonts w:eastAsiaTheme="minorEastAsia"/>
              <w:noProof/>
              <w:lang w:val="en-US"/>
            </w:rPr>
          </w:pPr>
          <w:hyperlink w:anchor="_Toc233981982" w:history="1">
            <w:r w:rsidR="000D62A2" w:rsidRPr="004B5634">
              <w:rPr>
                <w:rStyle w:val="ab"/>
                <w:rFonts w:ascii="Times New Roman" w:hAnsi="Times New Roman" w:cs="Times New Roman"/>
                <w:b/>
                <w:noProof/>
                <w:lang w:val="en-US"/>
              </w:rPr>
              <w:t>2. Procedures for the Implementation of the Risk Management Policy by the Bank’s Board of Directors and Management Board</w:t>
            </w:r>
            <w:r w:rsidR="000D62A2">
              <w:rPr>
                <w:noProof/>
                <w:webHidden/>
              </w:rPr>
              <w:tab/>
            </w:r>
            <w:r w:rsidR="000D62A2">
              <w:rPr>
                <w:noProof/>
                <w:webHidden/>
              </w:rPr>
              <w:fldChar w:fldCharType="begin"/>
            </w:r>
            <w:r w:rsidR="000D62A2">
              <w:rPr>
                <w:noProof/>
                <w:webHidden/>
              </w:rPr>
              <w:instrText xml:space="preserve"> PAGEREF _Toc233981982 \h </w:instrText>
            </w:r>
            <w:r w:rsidR="000D62A2">
              <w:rPr>
                <w:noProof/>
                <w:webHidden/>
              </w:rPr>
            </w:r>
            <w:r w:rsidR="000D62A2">
              <w:rPr>
                <w:noProof/>
                <w:webHidden/>
              </w:rPr>
              <w:fldChar w:fldCharType="separate"/>
            </w:r>
            <w:r w:rsidR="00467B31">
              <w:rPr>
                <w:noProof/>
                <w:webHidden/>
              </w:rPr>
              <w:t>4</w:t>
            </w:r>
            <w:r w:rsidR="000D62A2">
              <w:rPr>
                <w:noProof/>
                <w:webHidden/>
              </w:rPr>
              <w:fldChar w:fldCharType="end"/>
            </w:r>
          </w:hyperlink>
        </w:p>
        <w:p w:rsidR="000D62A2" w:rsidRDefault="00AF13AC">
          <w:pPr>
            <w:pStyle w:val="11"/>
            <w:tabs>
              <w:tab w:val="right" w:leader="dot" w:pos="9345"/>
            </w:tabs>
            <w:rPr>
              <w:rFonts w:eastAsiaTheme="minorEastAsia"/>
              <w:noProof/>
              <w:lang w:val="en-US"/>
            </w:rPr>
          </w:pPr>
          <w:hyperlink w:anchor="_Toc233981983" w:history="1">
            <w:r w:rsidR="000D62A2" w:rsidRPr="004B5634">
              <w:rPr>
                <w:rStyle w:val="ab"/>
                <w:rFonts w:ascii="Times New Roman" w:hAnsi="Times New Roman" w:cs="Times New Roman"/>
                <w:b/>
                <w:noProof/>
                <w:lang w:val="en-US"/>
              </w:rPr>
              <w:t>3. Information on Risks Inherent in the Bank’s Activities and Material Risks</w:t>
            </w:r>
            <w:r w:rsidR="000D62A2">
              <w:rPr>
                <w:noProof/>
                <w:webHidden/>
              </w:rPr>
              <w:tab/>
            </w:r>
            <w:r w:rsidR="000D62A2">
              <w:rPr>
                <w:noProof/>
                <w:webHidden/>
              </w:rPr>
              <w:fldChar w:fldCharType="begin"/>
            </w:r>
            <w:r w:rsidR="000D62A2">
              <w:rPr>
                <w:noProof/>
                <w:webHidden/>
              </w:rPr>
              <w:instrText xml:space="preserve"> PAGEREF _Toc233981983 \h </w:instrText>
            </w:r>
            <w:r w:rsidR="000D62A2">
              <w:rPr>
                <w:noProof/>
                <w:webHidden/>
              </w:rPr>
            </w:r>
            <w:r w:rsidR="000D62A2">
              <w:rPr>
                <w:noProof/>
                <w:webHidden/>
              </w:rPr>
              <w:fldChar w:fldCharType="separate"/>
            </w:r>
            <w:r w:rsidR="00467B31">
              <w:rPr>
                <w:noProof/>
                <w:webHidden/>
              </w:rPr>
              <w:t>6</w:t>
            </w:r>
            <w:r w:rsidR="000D62A2">
              <w:rPr>
                <w:noProof/>
                <w:webHidden/>
              </w:rPr>
              <w:fldChar w:fldCharType="end"/>
            </w:r>
          </w:hyperlink>
        </w:p>
        <w:p w:rsidR="000D62A2" w:rsidRDefault="00AF13AC">
          <w:pPr>
            <w:pStyle w:val="11"/>
            <w:tabs>
              <w:tab w:val="right" w:leader="dot" w:pos="9345"/>
            </w:tabs>
            <w:rPr>
              <w:rFonts w:eastAsiaTheme="minorEastAsia"/>
              <w:noProof/>
              <w:lang w:val="en-US"/>
            </w:rPr>
          </w:pPr>
          <w:hyperlink w:anchor="_Toc233981984" w:history="1">
            <w:r w:rsidR="000D62A2" w:rsidRPr="004B5634">
              <w:rPr>
                <w:rStyle w:val="ab"/>
                <w:rFonts w:ascii="Times New Roman" w:hAnsi="Times New Roman" w:cs="Times New Roman"/>
                <w:b/>
                <w:noProof/>
                <w:lang w:val="en-US"/>
              </w:rPr>
              <w:t>4. Procedure for Determining the Bank’s Risk Appetite</w:t>
            </w:r>
            <w:r w:rsidR="000D62A2">
              <w:rPr>
                <w:noProof/>
                <w:webHidden/>
              </w:rPr>
              <w:tab/>
            </w:r>
            <w:r w:rsidR="000D62A2">
              <w:rPr>
                <w:noProof/>
                <w:webHidden/>
              </w:rPr>
              <w:fldChar w:fldCharType="begin"/>
            </w:r>
            <w:r w:rsidR="000D62A2">
              <w:rPr>
                <w:noProof/>
                <w:webHidden/>
              </w:rPr>
              <w:instrText xml:space="preserve"> PAGEREF _Toc233981984 \h </w:instrText>
            </w:r>
            <w:r w:rsidR="000D62A2">
              <w:rPr>
                <w:noProof/>
                <w:webHidden/>
              </w:rPr>
            </w:r>
            <w:r w:rsidR="000D62A2">
              <w:rPr>
                <w:noProof/>
                <w:webHidden/>
              </w:rPr>
              <w:fldChar w:fldCharType="separate"/>
            </w:r>
            <w:r w:rsidR="00467B31">
              <w:rPr>
                <w:noProof/>
                <w:webHidden/>
              </w:rPr>
              <w:t>6</w:t>
            </w:r>
            <w:r w:rsidR="000D62A2">
              <w:rPr>
                <w:noProof/>
                <w:webHidden/>
              </w:rPr>
              <w:fldChar w:fldCharType="end"/>
            </w:r>
          </w:hyperlink>
        </w:p>
        <w:p w:rsidR="000D62A2" w:rsidRDefault="00AF13AC">
          <w:pPr>
            <w:pStyle w:val="11"/>
            <w:tabs>
              <w:tab w:val="right" w:leader="dot" w:pos="9345"/>
            </w:tabs>
            <w:rPr>
              <w:rFonts w:eastAsiaTheme="minorEastAsia"/>
              <w:noProof/>
              <w:lang w:val="en-US"/>
            </w:rPr>
          </w:pPr>
          <w:hyperlink w:anchor="_Toc233981985" w:history="1">
            <w:r w:rsidR="000D62A2" w:rsidRPr="004B5634">
              <w:rPr>
                <w:rStyle w:val="ab"/>
                <w:rFonts w:ascii="Times New Roman" w:hAnsi="Times New Roman" w:cs="Times New Roman"/>
                <w:b/>
                <w:noProof/>
                <w:lang w:val="en-US"/>
              </w:rPr>
              <w:t>5. Procedure for Conducting Risk Assessments as Part of Capital Adequacy Assessments</w:t>
            </w:r>
            <w:r w:rsidR="000D62A2">
              <w:rPr>
                <w:noProof/>
                <w:webHidden/>
              </w:rPr>
              <w:tab/>
            </w:r>
            <w:r w:rsidR="000D62A2">
              <w:rPr>
                <w:noProof/>
                <w:webHidden/>
              </w:rPr>
              <w:fldChar w:fldCharType="begin"/>
            </w:r>
            <w:r w:rsidR="000D62A2">
              <w:rPr>
                <w:noProof/>
                <w:webHidden/>
              </w:rPr>
              <w:instrText xml:space="preserve"> PAGEREF _Toc233981985 \h </w:instrText>
            </w:r>
            <w:r w:rsidR="000D62A2">
              <w:rPr>
                <w:noProof/>
                <w:webHidden/>
              </w:rPr>
            </w:r>
            <w:r w:rsidR="000D62A2">
              <w:rPr>
                <w:noProof/>
                <w:webHidden/>
              </w:rPr>
              <w:fldChar w:fldCharType="separate"/>
            </w:r>
            <w:r w:rsidR="00467B31">
              <w:rPr>
                <w:noProof/>
                <w:webHidden/>
              </w:rPr>
              <w:t>7</w:t>
            </w:r>
            <w:r w:rsidR="000D62A2">
              <w:rPr>
                <w:noProof/>
                <w:webHidden/>
              </w:rPr>
              <w:fldChar w:fldCharType="end"/>
            </w:r>
          </w:hyperlink>
        </w:p>
        <w:p w:rsidR="000D62A2" w:rsidRDefault="00AF13AC">
          <w:pPr>
            <w:pStyle w:val="11"/>
            <w:tabs>
              <w:tab w:val="right" w:leader="dot" w:pos="9345"/>
            </w:tabs>
            <w:rPr>
              <w:rFonts w:eastAsiaTheme="minorEastAsia"/>
              <w:noProof/>
              <w:lang w:val="en-US"/>
            </w:rPr>
          </w:pPr>
          <w:hyperlink w:anchor="_Toc233981986" w:history="1">
            <w:r w:rsidR="000D62A2" w:rsidRPr="004B5634">
              <w:rPr>
                <w:rStyle w:val="ab"/>
                <w:rFonts w:ascii="Times New Roman" w:hAnsi="Times New Roman" w:cs="Times New Roman"/>
                <w:b/>
                <w:noProof/>
                <w:lang w:val="en-US"/>
              </w:rPr>
              <w:t>6. Information on the Bank’s Equity Capital</w:t>
            </w:r>
            <w:r w:rsidR="000D62A2">
              <w:rPr>
                <w:noProof/>
                <w:webHidden/>
              </w:rPr>
              <w:tab/>
            </w:r>
            <w:r w:rsidR="000D62A2">
              <w:rPr>
                <w:noProof/>
                <w:webHidden/>
              </w:rPr>
              <w:fldChar w:fldCharType="begin"/>
            </w:r>
            <w:r w:rsidR="000D62A2">
              <w:rPr>
                <w:noProof/>
                <w:webHidden/>
              </w:rPr>
              <w:instrText xml:space="preserve"> PAGEREF _Toc233981986 \h </w:instrText>
            </w:r>
            <w:r w:rsidR="000D62A2">
              <w:rPr>
                <w:noProof/>
                <w:webHidden/>
              </w:rPr>
            </w:r>
            <w:r w:rsidR="000D62A2">
              <w:rPr>
                <w:noProof/>
                <w:webHidden/>
              </w:rPr>
              <w:fldChar w:fldCharType="separate"/>
            </w:r>
            <w:r w:rsidR="00467B31">
              <w:rPr>
                <w:noProof/>
                <w:webHidden/>
              </w:rPr>
              <w:t>9</w:t>
            </w:r>
            <w:r w:rsidR="000D62A2">
              <w:rPr>
                <w:noProof/>
                <w:webHidden/>
              </w:rPr>
              <w:fldChar w:fldCharType="end"/>
            </w:r>
          </w:hyperlink>
        </w:p>
        <w:p w:rsidR="000D62A2" w:rsidRDefault="00AF13AC">
          <w:pPr>
            <w:pStyle w:val="11"/>
            <w:tabs>
              <w:tab w:val="right" w:leader="dot" w:pos="9345"/>
            </w:tabs>
            <w:rPr>
              <w:rFonts w:eastAsiaTheme="minorEastAsia"/>
              <w:noProof/>
              <w:lang w:val="en-US"/>
            </w:rPr>
          </w:pPr>
          <w:hyperlink w:anchor="_Toc233981987" w:history="1">
            <w:r w:rsidR="000D62A2" w:rsidRPr="004B5634">
              <w:rPr>
                <w:rStyle w:val="ab"/>
                <w:rFonts w:ascii="Times New Roman" w:hAnsi="Times New Roman" w:cs="Times New Roman"/>
                <w:b/>
                <w:noProof/>
                <w:lang w:val="en-US"/>
              </w:rPr>
              <w:t>7. The Bank’s Credit Risk Management</w:t>
            </w:r>
            <w:r w:rsidR="000D62A2">
              <w:rPr>
                <w:noProof/>
                <w:webHidden/>
              </w:rPr>
              <w:tab/>
            </w:r>
            <w:r w:rsidR="000D62A2">
              <w:rPr>
                <w:noProof/>
                <w:webHidden/>
              </w:rPr>
              <w:fldChar w:fldCharType="begin"/>
            </w:r>
            <w:r w:rsidR="000D62A2">
              <w:rPr>
                <w:noProof/>
                <w:webHidden/>
              </w:rPr>
              <w:instrText xml:space="preserve"> PAGEREF _Toc233981987 \h </w:instrText>
            </w:r>
            <w:r w:rsidR="000D62A2">
              <w:rPr>
                <w:noProof/>
                <w:webHidden/>
              </w:rPr>
            </w:r>
            <w:r w:rsidR="000D62A2">
              <w:rPr>
                <w:noProof/>
                <w:webHidden/>
              </w:rPr>
              <w:fldChar w:fldCharType="separate"/>
            </w:r>
            <w:r w:rsidR="00467B31">
              <w:rPr>
                <w:noProof/>
                <w:webHidden/>
              </w:rPr>
              <w:t>12</w:t>
            </w:r>
            <w:r w:rsidR="000D62A2">
              <w:rPr>
                <w:noProof/>
                <w:webHidden/>
              </w:rPr>
              <w:fldChar w:fldCharType="end"/>
            </w:r>
          </w:hyperlink>
        </w:p>
        <w:p w:rsidR="00B41C5F" w:rsidRPr="00E27EED" w:rsidRDefault="00B41C5F" w:rsidP="000B0C64">
          <w:pPr>
            <w:rPr>
              <w:lang w:val="en-US"/>
            </w:rPr>
          </w:pPr>
          <w:r w:rsidRPr="00E27EED">
            <w:rPr>
              <w:b/>
              <w:bCs/>
              <w:lang w:val="en-US"/>
            </w:rPr>
            <w:fldChar w:fldCharType="end"/>
          </w:r>
        </w:p>
      </w:sdtContent>
    </w:sdt>
    <w:p w:rsidR="002479FC" w:rsidRPr="00E27EED" w:rsidRDefault="002479FC" w:rsidP="000B0C64">
      <w:pPr>
        <w:rPr>
          <w:rStyle w:val="s19"/>
          <w:color w:val="auto"/>
          <w:sz w:val="24"/>
          <w:szCs w:val="24"/>
          <w:lang w:val="en-US"/>
        </w:rPr>
      </w:pPr>
    </w:p>
    <w:p w:rsidR="009D17E1" w:rsidRPr="00E27EED" w:rsidRDefault="009D17E1" w:rsidP="000B0C64">
      <w:pPr>
        <w:rPr>
          <w:rStyle w:val="s19"/>
          <w:b/>
          <w:color w:val="auto"/>
          <w:sz w:val="24"/>
          <w:szCs w:val="24"/>
          <w:lang w:val="en-US"/>
        </w:rPr>
      </w:pPr>
      <w:r w:rsidRPr="00E27EED">
        <w:rPr>
          <w:rStyle w:val="s19"/>
          <w:b/>
          <w:color w:val="auto"/>
          <w:sz w:val="24"/>
          <w:szCs w:val="24"/>
          <w:lang w:val="en-US"/>
        </w:rPr>
        <w:br w:type="page"/>
      </w:r>
    </w:p>
    <w:p w:rsidR="00292923" w:rsidRPr="00E27EED" w:rsidRDefault="00292923" w:rsidP="000B0C64">
      <w:pPr>
        <w:spacing w:line="259" w:lineRule="auto"/>
        <w:rPr>
          <w:rFonts w:ascii="Times New Roman" w:hAnsi="Times New Roman" w:cs="Times New Roman"/>
          <w:sz w:val="24"/>
          <w:lang w:val="en-US"/>
        </w:rPr>
      </w:pPr>
      <w:r w:rsidRPr="00E27EED">
        <w:rPr>
          <w:rFonts w:ascii="Times New Roman" w:hAnsi="Times New Roman" w:cs="Times New Roman"/>
          <w:sz w:val="24"/>
          <w:lang w:val="en-US"/>
        </w:rPr>
        <w:lastRenderedPageBreak/>
        <w:t>Glossary:</w:t>
      </w:r>
    </w:p>
    <w:p w:rsidR="00292923" w:rsidRPr="00351CED" w:rsidRDefault="00292923" w:rsidP="001C68BB">
      <w:pPr>
        <w:pStyle w:val="a9"/>
        <w:numPr>
          <w:ilvl w:val="0"/>
          <w:numId w:val="20"/>
        </w:numPr>
        <w:spacing w:after="0" w:line="259" w:lineRule="auto"/>
        <w:rPr>
          <w:rFonts w:ascii="Times New Roman" w:hAnsi="Times New Roman" w:cs="Times New Roman"/>
          <w:sz w:val="24"/>
          <w:szCs w:val="24"/>
          <w:lang w:val="de-DE"/>
        </w:rPr>
      </w:pPr>
      <w:r w:rsidRPr="00351CED">
        <w:rPr>
          <w:rFonts w:ascii="Times New Roman" w:hAnsi="Times New Roman" w:cs="Times New Roman"/>
          <w:sz w:val="24"/>
          <w:szCs w:val="24"/>
          <w:lang w:val="de-DE"/>
        </w:rPr>
        <w:t xml:space="preserve">Bank – </w:t>
      </w:r>
      <w:r w:rsidR="00467B31" w:rsidRPr="00467B31">
        <w:rPr>
          <w:rFonts w:ascii="Times New Roman" w:hAnsi="Times New Roman" w:cs="Times New Roman"/>
          <w:sz w:val="24"/>
          <w:szCs w:val="24"/>
          <w:lang w:val="en-US"/>
        </w:rPr>
        <w:t>Subsidiary JSC VTB Bank (Kazakhstan)</w:t>
      </w:r>
      <w:r w:rsidRPr="00351CED">
        <w:rPr>
          <w:rFonts w:ascii="Times New Roman" w:hAnsi="Times New Roman" w:cs="Times New Roman"/>
          <w:sz w:val="24"/>
          <w:szCs w:val="24"/>
          <w:lang w:val="de-DE"/>
        </w:rPr>
        <w:t>;</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 xml:space="preserve">IRD – </w:t>
      </w:r>
      <w:r w:rsidR="00A77D16" w:rsidRPr="00E27EED">
        <w:rPr>
          <w:rFonts w:ascii="Times New Roman" w:hAnsi="Times New Roman" w:cs="Times New Roman"/>
          <w:sz w:val="24"/>
          <w:szCs w:val="24"/>
          <w:lang w:val="en-US"/>
        </w:rPr>
        <w:t>I</w:t>
      </w:r>
      <w:r w:rsidRPr="00E27EED">
        <w:rPr>
          <w:rFonts w:ascii="Times New Roman" w:hAnsi="Times New Roman" w:cs="Times New Roman"/>
          <w:sz w:val="24"/>
          <w:szCs w:val="24"/>
          <w:lang w:val="en-US"/>
        </w:rPr>
        <w:t xml:space="preserve">nternal </w:t>
      </w:r>
      <w:r w:rsidR="00A77D16" w:rsidRPr="00E27EED">
        <w:rPr>
          <w:rFonts w:ascii="Times New Roman" w:hAnsi="Times New Roman" w:cs="Times New Roman"/>
          <w:sz w:val="24"/>
          <w:szCs w:val="24"/>
          <w:lang w:val="en-US"/>
        </w:rPr>
        <w:t>R</w:t>
      </w:r>
      <w:r w:rsidRPr="00E27EED">
        <w:rPr>
          <w:rFonts w:ascii="Times New Roman" w:hAnsi="Times New Roman" w:cs="Times New Roman"/>
          <w:sz w:val="24"/>
          <w:szCs w:val="24"/>
          <w:lang w:val="en-US"/>
        </w:rPr>
        <w:t xml:space="preserve">egulatory </w:t>
      </w:r>
      <w:r w:rsidR="00A77D16" w:rsidRPr="00E27EED">
        <w:rPr>
          <w:rFonts w:ascii="Times New Roman" w:hAnsi="Times New Roman" w:cs="Times New Roman"/>
          <w:sz w:val="24"/>
          <w:szCs w:val="24"/>
          <w:lang w:val="en-US"/>
        </w:rPr>
        <w:t>D</w:t>
      </w:r>
      <w:r w:rsidRPr="00E27EED">
        <w:rPr>
          <w:rFonts w:ascii="Times New Roman" w:hAnsi="Times New Roman" w:cs="Times New Roman"/>
          <w:sz w:val="24"/>
          <w:szCs w:val="24"/>
          <w:lang w:val="en-US"/>
        </w:rPr>
        <w:t>ocuments;</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ICA</w:t>
      </w:r>
      <w:r w:rsidR="00A77D16" w:rsidRPr="00E27EED">
        <w:rPr>
          <w:rFonts w:ascii="Times New Roman" w:hAnsi="Times New Roman" w:cs="Times New Roman"/>
          <w:sz w:val="24"/>
          <w:szCs w:val="24"/>
          <w:lang w:val="en-US"/>
        </w:rPr>
        <w:t>A</w:t>
      </w:r>
      <w:r w:rsidRPr="00E27EED">
        <w:rPr>
          <w:rFonts w:ascii="Times New Roman" w:hAnsi="Times New Roman" w:cs="Times New Roman"/>
          <w:sz w:val="24"/>
          <w:szCs w:val="24"/>
          <w:lang w:val="en-US"/>
        </w:rPr>
        <w:t>P – Internal Capital Adequacy Assessment Process;</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ILA</w:t>
      </w:r>
      <w:r w:rsidR="00A77D16" w:rsidRPr="00E27EED">
        <w:rPr>
          <w:rFonts w:ascii="Times New Roman" w:hAnsi="Times New Roman" w:cs="Times New Roman"/>
          <w:sz w:val="24"/>
          <w:szCs w:val="24"/>
          <w:lang w:val="en-US"/>
        </w:rPr>
        <w:t>A</w:t>
      </w:r>
      <w:r w:rsidRPr="00E27EED">
        <w:rPr>
          <w:rFonts w:ascii="Times New Roman" w:hAnsi="Times New Roman" w:cs="Times New Roman"/>
          <w:sz w:val="24"/>
          <w:szCs w:val="24"/>
          <w:lang w:val="en-US"/>
        </w:rPr>
        <w:t>P – Internal Liquidity Adequacy Assessment Process;</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 xml:space="preserve">RMC – </w:t>
      </w:r>
      <w:r w:rsidR="00057AF6" w:rsidRPr="00E27EED">
        <w:rPr>
          <w:rFonts w:ascii="Times New Roman" w:hAnsi="Times New Roman" w:cs="Times New Roman"/>
          <w:sz w:val="24"/>
          <w:szCs w:val="24"/>
          <w:lang w:val="en-US"/>
        </w:rPr>
        <w:t>Risk Management Committee under the Bank’s Board of Directors</w:t>
      </w:r>
      <w:r w:rsidRPr="00E27EED">
        <w:rPr>
          <w:rFonts w:ascii="Times New Roman" w:hAnsi="Times New Roman" w:cs="Times New Roman"/>
          <w:sz w:val="24"/>
          <w:szCs w:val="24"/>
          <w:lang w:val="en-US"/>
        </w:rPr>
        <w:t>;</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AL</w:t>
      </w:r>
      <w:r w:rsidR="00E27EED" w:rsidRPr="00E27EED">
        <w:rPr>
          <w:rFonts w:ascii="Times New Roman" w:hAnsi="Times New Roman" w:cs="Times New Roman"/>
          <w:sz w:val="24"/>
          <w:szCs w:val="24"/>
          <w:lang w:val="en-US"/>
        </w:rPr>
        <w:t>M</w:t>
      </w:r>
      <w:r w:rsidR="00A77D16" w:rsidRPr="00E27EED">
        <w:rPr>
          <w:rFonts w:ascii="Times New Roman" w:hAnsi="Times New Roman" w:cs="Times New Roman"/>
          <w:sz w:val="24"/>
          <w:szCs w:val="24"/>
          <w:lang w:val="en-US"/>
        </w:rPr>
        <w:t>C</w:t>
      </w:r>
      <w:r w:rsidRPr="00E27EED">
        <w:rPr>
          <w:rFonts w:ascii="Times New Roman" w:hAnsi="Times New Roman" w:cs="Times New Roman"/>
          <w:sz w:val="24"/>
          <w:szCs w:val="24"/>
          <w:lang w:val="en-US"/>
        </w:rPr>
        <w:t xml:space="preserve"> – Asset and Liability Management Committee under the Bank’s Management Board;</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IFRS – International Financial Reporting Standards;</w:t>
      </w:r>
    </w:p>
    <w:p w:rsidR="00292923" w:rsidRPr="00E27EED" w:rsidRDefault="00292923" w:rsidP="001C68BB">
      <w:pPr>
        <w:pStyle w:val="a9"/>
        <w:numPr>
          <w:ilvl w:val="0"/>
          <w:numId w:val="20"/>
        </w:numPr>
        <w:spacing w:after="0" w:line="259" w:lineRule="auto"/>
        <w:ind w:left="426" w:hanging="66"/>
        <w:jc w:val="both"/>
        <w:rPr>
          <w:rFonts w:ascii="Times New Roman" w:hAnsi="Times New Roman" w:cs="Times New Roman"/>
          <w:sz w:val="24"/>
          <w:szCs w:val="24"/>
          <w:lang w:val="en-US"/>
        </w:rPr>
      </w:pPr>
      <w:r w:rsidRPr="00E27EED">
        <w:rPr>
          <w:rFonts w:ascii="Times New Roman" w:hAnsi="Times New Roman" w:cs="Times New Roman"/>
          <w:sz w:val="24"/>
          <w:szCs w:val="24"/>
          <w:lang w:val="en-US"/>
        </w:rPr>
        <w:t>Regulation No. 170 – Resolution No. 170 of the Management Board of the National Bank of the Republic of Kazakhstan dated September 13, 2017, “</w:t>
      </w:r>
      <w:r w:rsidR="00E27EED" w:rsidRPr="00E27EED">
        <w:rPr>
          <w:rFonts w:ascii="Times New Roman" w:hAnsi="Times New Roman" w:cs="Times New Roman"/>
          <w:sz w:val="24"/>
          <w:szCs w:val="24"/>
          <w:lang w:val="en-US"/>
        </w:rPr>
        <w:t>On Establishing Prudential Standards and Methodologies for Calculating Prudential Ratios and Other Mandatory Standards and Limits, Bank Capital Requirements, and the Rules for Calculation and Limits of the Open Foreign Exchange Position</w:t>
      </w:r>
      <w:r w:rsidRPr="00E27EED">
        <w:rPr>
          <w:rFonts w:ascii="Times New Roman" w:hAnsi="Times New Roman" w:cs="Times New Roman"/>
          <w:sz w:val="24"/>
          <w:szCs w:val="24"/>
          <w:lang w:val="en-US"/>
        </w:rPr>
        <w:t>”;</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O</w:t>
      </w:r>
      <w:r w:rsidR="00E27EED" w:rsidRPr="00E27EED">
        <w:rPr>
          <w:rFonts w:ascii="Times New Roman" w:hAnsi="Times New Roman" w:cs="Times New Roman"/>
          <w:sz w:val="24"/>
          <w:szCs w:val="24"/>
          <w:lang w:val="en-US"/>
        </w:rPr>
        <w:t>FX</w:t>
      </w:r>
      <w:r w:rsidRPr="00E27EED">
        <w:rPr>
          <w:rFonts w:ascii="Times New Roman" w:hAnsi="Times New Roman" w:cs="Times New Roman"/>
          <w:sz w:val="24"/>
          <w:szCs w:val="24"/>
          <w:lang w:val="en-US"/>
        </w:rPr>
        <w:t xml:space="preserve">P – </w:t>
      </w:r>
      <w:r w:rsidR="00E27EED" w:rsidRPr="00E27EED">
        <w:rPr>
          <w:rFonts w:ascii="Times New Roman" w:hAnsi="Times New Roman" w:cs="Times New Roman"/>
          <w:sz w:val="24"/>
          <w:szCs w:val="24"/>
          <w:lang w:val="en-US"/>
        </w:rPr>
        <w:t>Open Foreign Exchange Position</w:t>
      </w:r>
      <w:r w:rsidRPr="00E27EED">
        <w:rPr>
          <w:rFonts w:ascii="Times New Roman" w:hAnsi="Times New Roman" w:cs="Times New Roman"/>
          <w:sz w:val="24"/>
          <w:szCs w:val="24"/>
          <w:lang w:val="en-US"/>
        </w:rPr>
        <w:t>;</w:t>
      </w:r>
    </w:p>
    <w:p w:rsidR="00292923" w:rsidRPr="00E27EED" w:rsidRDefault="00292923" w:rsidP="001C68BB">
      <w:pPr>
        <w:pStyle w:val="a9"/>
        <w:numPr>
          <w:ilvl w:val="0"/>
          <w:numId w:val="20"/>
        </w:numPr>
        <w:spacing w:after="0" w:line="259" w:lineRule="auto"/>
        <w:ind w:left="426" w:hanging="66"/>
        <w:jc w:val="both"/>
        <w:rPr>
          <w:rFonts w:ascii="Times New Roman" w:hAnsi="Times New Roman" w:cs="Times New Roman"/>
          <w:sz w:val="24"/>
          <w:szCs w:val="24"/>
          <w:lang w:val="en-US"/>
        </w:rPr>
      </w:pPr>
      <w:r w:rsidRPr="00E27EED">
        <w:rPr>
          <w:rFonts w:ascii="Times New Roman" w:hAnsi="Times New Roman" w:cs="Times New Roman"/>
          <w:sz w:val="24"/>
          <w:szCs w:val="24"/>
          <w:lang w:val="en-US"/>
        </w:rPr>
        <w:t xml:space="preserve">Rules </w:t>
      </w:r>
      <w:r w:rsidR="00E27EED" w:rsidRPr="00E27EED">
        <w:rPr>
          <w:rFonts w:ascii="Times New Roman" w:hAnsi="Times New Roman" w:cs="Times New Roman"/>
          <w:sz w:val="24"/>
          <w:szCs w:val="24"/>
          <w:lang w:val="en-US"/>
        </w:rPr>
        <w:t xml:space="preserve">No. </w:t>
      </w:r>
      <w:r w:rsidRPr="00E27EED">
        <w:rPr>
          <w:rFonts w:ascii="Times New Roman" w:hAnsi="Times New Roman" w:cs="Times New Roman"/>
          <w:sz w:val="24"/>
          <w:szCs w:val="24"/>
          <w:lang w:val="en-US"/>
        </w:rPr>
        <w:t xml:space="preserve">188 – Resolution of the </w:t>
      </w:r>
      <w:r w:rsidR="00E27EED" w:rsidRPr="00E27EED">
        <w:rPr>
          <w:rFonts w:ascii="Times New Roman" w:hAnsi="Times New Roman" w:cs="Times New Roman"/>
          <w:sz w:val="24"/>
          <w:szCs w:val="24"/>
          <w:lang w:val="en-US"/>
        </w:rPr>
        <w:t xml:space="preserve">Management </w:t>
      </w:r>
      <w:r w:rsidRPr="00E27EED">
        <w:rPr>
          <w:rFonts w:ascii="Times New Roman" w:hAnsi="Times New Roman" w:cs="Times New Roman"/>
          <w:sz w:val="24"/>
          <w:szCs w:val="24"/>
          <w:lang w:val="en-US"/>
        </w:rPr>
        <w:t>Board of the National Bank of the Republic of Kazakhstan No. 188 dated November 12, 2019, “On Approval of the Rules for Establishing Risk Management and Internal Control System for Second-Tier Banks and Branches of Non-Resident Banks in the Republic of Kazakhstan”;</w:t>
      </w:r>
    </w:p>
    <w:p w:rsidR="00292923" w:rsidRPr="00E27EED" w:rsidRDefault="00E27EED"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C</w:t>
      </w:r>
      <w:r w:rsidR="00292923" w:rsidRPr="00E27EED">
        <w:rPr>
          <w:rFonts w:ascii="Times New Roman" w:hAnsi="Times New Roman" w:cs="Times New Roman"/>
          <w:sz w:val="24"/>
          <w:szCs w:val="24"/>
          <w:lang w:val="en-US"/>
        </w:rPr>
        <w:t>F</w:t>
      </w:r>
      <w:r w:rsidRPr="00E27EED">
        <w:rPr>
          <w:rFonts w:ascii="Times New Roman" w:hAnsi="Times New Roman" w:cs="Times New Roman"/>
          <w:sz w:val="24"/>
          <w:szCs w:val="24"/>
          <w:lang w:val="en-US"/>
        </w:rPr>
        <w:t>P</w:t>
      </w:r>
      <w:r w:rsidR="00292923" w:rsidRPr="00E27EED">
        <w:rPr>
          <w:rFonts w:ascii="Times New Roman" w:hAnsi="Times New Roman" w:cs="Times New Roman"/>
          <w:sz w:val="24"/>
          <w:szCs w:val="24"/>
          <w:lang w:val="en-US"/>
        </w:rPr>
        <w:t xml:space="preserve"> – </w:t>
      </w:r>
      <w:r w:rsidRPr="00E27EED">
        <w:rPr>
          <w:rFonts w:ascii="Times New Roman" w:hAnsi="Times New Roman" w:cs="Times New Roman"/>
          <w:sz w:val="24"/>
          <w:szCs w:val="24"/>
          <w:lang w:val="en-US"/>
        </w:rPr>
        <w:t>Contingency Funding Plan</w:t>
      </w:r>
      <w:r w:rsidR="00292923" w:rsidRPr="00E27EED">
        <w:rPr>
          <w:rFonts w:ascii="Times New Roman" w:hAnsi="Times New Roman" w:cs="Times New Roman"/>
          <w:sz w:val="24"/>
          <w:szCs w:val="24"/>
          <w:lang w:val="en-US"/>
        </w:rPr>
        <w:t>;</w:t>
      </w:r>
    </w:p>
    <w:p w:rsidR="00292923" w:rsidRPr="00E27EED" w:rsidRDefault="00292923"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BD – Board of Directors of the Bank;</w:t>
      </w:r>
    </w:p>
    <w:p w:rsidR="00FD02F6" w:rsidRPr="00E27EED" w:rsidRDefault="00FD02F6"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IA</w:t>
      </w:r>
      <w:r w:rsidR="00E27EED" w:rsidRPr="00E27EED">
        <w:rPr>
          <w:rFonts w:ascii="Times New Roman" w:hAnsi="Times New Roman" w:cs="Times New Roman"/>
          <w:sz w:val="24"/>
          <w:szCs w:val="24"/>
          <w:lang w:val="en-US"/>
        </w:rPr>
        <w:t>D</w:t>
      </w:r>
      <w:r w:rsidRPr="00E27EED">
        <w:rPr>
          <w:rFonts w:ascii="Times New Roman" w:hAnsi="Times New Roman" w:cs="Times New Roman"/>
          <w:sz w:val="24"/>
          <w:szCs w:val="24"/>
          <w:lang w:val="en-US"/>
        </w:rPr>
        <w:t xml:space="preserve"> – Internal Audit </w:t>
      </w:r>
      <w:r w:rsidR="00E27EED" w:rsidRPr="00E27EED">
        <w:rPr>
          <w:rFonts w:ascii="Times New Roman" w:hAnsi="Times New Roman" w:cs="Times New Roman"/>
          <w:sz w:val="24"/>
          <w:szCs w:val="24"/>
          <w:lang w:val="en-US"/>
        </w:rPr>
        <w:t>Department</w:t>
      </w:r>
      <w:r w:rsidRPr="00E27EED">
        <w:rPr>
          <w:rFonts w:ascii="Times New Roman" w:hAnsi="Times New Roman" w:cs="Times New Roman"/>
          <w:sz w:val="24"/>
          <w:szCs w:val="24"/>
          <w:lang w:val="en-US"/>
        </w:rPr>
        <w:t>;</w:t>
      </w:r>
    </w:p>
    <w:p w:rsidR="00292923" w:rsidRPr="00E27EED" w:rsidRDefault="00FD02F6"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CCFM</w:t>
      </w:r>
      <w:r w:rsidR="00E27EED" w:rsidRPr="00E27EED">
        <w:rPr>
          <w:rFonts w:ascii="Times New Roman" w:hAnsi="Times New Roman" w:cs="Times New Roman"/>
          <w:sz w:val="24"/>
          <w:szCs w:val="24"/>
          <w:lang w:val="en-US"/>
        </w:rPr>
        <w:t>D</w:t>
      </w:r>
      <w:r w:rsidRPr="00E27EED">
        <w:rPr>
          <w:rFonts w:ascii="Times New Roman" w:hAnsi="Times New Roman" w:cs="Times New Roman"/>
          <w:sz w:val="24"/>
          <w:szCs w:val="24"/>
          <w:lang w:val="en-US"/>
        </w:rPr>
        <w:t xml:space="preserve"> – the Bank’s Compliance Control and Financial Monitoring Department</w:t>
      </w:r>
      <w:r w:rsidR="00292923" w:rsidRPr="00E27EED">
        <w:rPr>
          <w:rFonts w:ascii="Times New Roman" w:hAnsi="Times New Roman" w:cs="Times New Roman"/>
          <w:sz w:val="24"/>
          <w:szCs w:val="24"/>
          <w:lang w:val="en-US"/>
        </w:rPr>
        <w:t>;</w:t>
      </w:r>
    </w:p>
    <w:p w:rsidR="00292923" w:rsidRPr="00E27EED" w:rsidRDefault="00E27EED" w:rsidP="001C68BB">
      <w:pPr>
        <w:pStyle w:val="a9"/>
        <w:numPr>
          <w:ilvl w:val="0"/>
          <w:numId w:val="20"/>
        </w:numPr>
        <w:spacing w:after="0" w:line="259" w:lineRule="auto"/>
        <w:rPr>
          <w:rFonts w:ascii="Times New Roman" w:hAnsi="Times New Roman" w:cs="Times New Roman"/>
          <w:sz w:val="24"/>
          <w:szCs w:val="24"/>
          <w:lang w:val="en-US"/>
        </w:rPr>
      </w:pPr>
      <w:r w:rsidRPr="00E27EED">
        <w:rPr>
          <w:rFonts w:ascii="Times New Roman" w:hAnsi="Times New Roman" w:cs="Times New Roman"/>
          <w:sz w:val="24"/>
          <w:szCs w:val="24"/>
          <w:lang w:val="en-US"/>
        </w:rPr>
        <w:t xml:space="preserve">ACB – </w:t>
      </w:r>
      <w:r w:rsidR="00292923" w:rsidRPr="00E27EED">
        <w:rPr>
          <w:rFonts w:ascii="Times New Roman" w:hAnsi="Times New Roman" w:cs="Times New Roman"/>
          <w:sz w:val="24"/>
          <w:szCs w:val="24"/>
          <w:lang w:val="en-US"/>
        </w:rPr>
        <w:t>Authorized</w:t>
      </w:r>
      <w:r w:rsidRPr="00E27EED">
        <w:rPr>
          <w:rFonts w:ascii="Times New Roman" w:hAnsi="Times New Roman" w:cs="Times New Roman"/>
          <w:sz w:val="24"/>
          <w:szCs w:val="24"/>
          <w:lang w:val="en-US"/>
        </w:rPr>
        <w:t xml:space="preserve"> </w:t>
      </w:r>
      <w:r w:rsidR="00292923" w:rsidRPr="00E27EED">
        <w:rPr>
          <w:rFonts w:ascii="Times New Roman" w:hAnsi="Times New Roman" w:cs="Times New Roman"/>
          <w:sz w:val="24"/>
          <w:szCs w:val="24"/>
          <w:lang w:val="en-US"/>
        </w:rPr>
        <w:t>Collegial Bodies.</w:t>
      </w:r>
    </w:p>
    <w:p w:rsidR="00FD02F6" w:rsidRPr="00E27EED" w:rsidRDefault="00FD02F6" w:rsidP="000B0C64">
      <w:pPr>
        <w:rPr>
          <w:rStyle w:val="s19"/>
          <w:color w:val="auto"/>
          <w:sz w:val="24"/>
          <w:szCs w:val="24"/>
          <w:lang w:val="en-US"/>
        </w:rPr>
      </w:pPr>
      <w:r w:rsidRPr="00E27EED">
        <w:rPr>
          <w:rStyle w:val="s19"/>
          <w:color w:val="auto"/>
          <w:sz w:val="24"/>
          <w:szCs w:val="24"/>
          <w:lang w:val="en-US"/>
        </w:rPr>
        <w:br w:type="page"/>
      </w:r>
    </w:p>
    <w:p w:rsidR="00D9290B" w:rsidRPr="00E27EED" w:rsidRDefault="00F04992" w:rsidP="000B0C64">
      <w:pPr>
        <w:pStyle w:val="1"/>
        <w:jc w:val="both"/>
        <w:rPr>
          <w:rStyle w:val="s19"/>
          <w:b/>
          <w:color w:val="auto"/>
          <w:sz w:val="24"/>
          <w:szCs w:val="24"/>
          <w:lang w:val="en-US"/>
        </w:rPr>
      </w:pPr>
      <w:bookmarkStart w:id="0" w:name="_Toc233981981"/>
      <w:r w:rsidRPr="00E27EED">
        <w:rPr>
          <w:rStyle w:val="s19"/>
          <w:b/>
          <w:color w:val="auto"/>
          <w:sz w:val="24"/>
          <w:szCs w:val="24"/>
          <w:lang w:val="en-US"/>
        </w:rPr>
        <w:lastRenderedPageBreak/>
        <w:t xml:space="preserve">1. </w:t>
      </w:r>
      <w:r w:rsidR="006F7FFD" w:rsidRPr="00E27EED">
        <w:rPr>
          <w:rStyle w:val="s19"/>
          <w:b/>
          <w:color w:val="auto"/>
          <w:sz w:val="24"/>
          <w:szCs w:val="24"/>
          <w:lang w:val="en-US"/>
        </w:rPr>
        <w:t>Brief Information on the Bank’s Main Activities</w:t>
      </w:r>
      <w:bookmarkEnd w:id="0"/>
    </w:p>
    <w:p w:rsidR="006D3E67" w:rsidRPr="00E27EED" w:rsidRDefault="00467B31" w:rsidP="006D3E67">
      <w:pPr>
        <w:pStyle w:val="pj"/>
        <w:rPr>
          <w:rStyle w:val="s0"/>
          <w:color w:val="auto"/>
          <w:lang w:val="en-US"/>
        </w:rPr>
      </w:pPr>
      <w:r w:rsidRPr="00467B31">
        <w:rPr>
          <w:color w:val="auto"/>
          <w:lang w:val="en-US"/>
        </w:rPr>
        <w:t>VTB Bank (Kazakhstan) Subsidiary Joint Stock Company</w:t>
      </w:r>
      <w:r w:rsidR="00E27EED" w:rsidRPr="00E27EED">
        <w:rPr>
          <w:rStyle w:val="s0"/>
          <w:color w:val="auto"/>
          <w:lang w:val="en-US"/>
        </w:rPr>
        <w:t xml:space="preserve"> </w:t>
      </w:r>
      <w:r w:rsidR="006D3E67" w:rsidRPr="00E27EED">
        <w:rPr>
          <w:rStyle w:val="s0"/>
          <w:color w:val="auto"/>
          <w:lang w:val="en-US"/>
        </w:rPr>
        <w:t>(hereinafter referred to as the “Bank”) was established on September 19, 2008, in accordance with the laws of the Republic of Kazakhstan. As of December 31, 2025, the Bank operated under License No. 1.2.14/39 to conduct banking and other operations and activities in the securities market, issued by the Agency of the Republic of Kazakhstan for the Regulation and Development of the Financial Market on February 3, 2020, which supersedes previous licenses.</w:t>
      </w:r>
    </w:p>
    <w:p w:rsidR="006D3E67" w:rsidRPr="00E27EED" w:rsidRDefault="006D3E67" w:rsidP="006D3E67">
      <w:pPr>
        <w:pStyle w:val="pj"/>
        <w:rPr>
          <w:rStyle w:val="s0"/>
          <w:color w:val="auto"/>
          <w:lang w:val="en-US"/>
        </w:rPr>
      </w:pPr>
      <w:r w:rsidRPr="00E27EED">
        <w:rPr>
          <w:rStyle w:val="s0"/>
          <w:color w:val="auto"/>
          <w:lang w:val="en-US"/>
        </w:rPr>
        <w:t xml:space="preserve">The Bank accepts deposits from the public, provides loans, and conducts money transfers within the </w:t>
      </w:r>
      <w:r w:rsidR="00E27EED">
        <w:rPr>
          <w:rStyle w:val="s0"/>
          <w:color w:val="auto"/>
          <w:lang w:val="en-US"/>
        </w:rPr>
        <w:t xml:space="preserve">territory of the </w:t>
      </w:r>
      <w:r w:rsidRPr="00E27EED">
        <w:rPr>
          <w:rStyle w:val="s0"/>
          <w:color w:val="auto"/>
          <w:lang w:val="en-US"/>
        </w:rPr>
        <w:t xml:space="preserve">Republic of Kazakhstan and abroad; it also conducts foreign exchange transactions and provides other banking services to legal entities and individuals who are </w:t>
      </w:r>
      <w:r w:rsidR="00E27EED">
        <w:rPr>
          <w:rStyle w:val="s0"/>
          <w:color w:val="auto"/>
          <w:lang w:val="en-US"/>
        </w:rPr>
        <w:t>customer</w:t>
      </w:r>
      <w:r w:rsidRPr="00E27EED">
        <w:rPr>
          <w:rStyle w:val="s0"/>
          <w:color w:val="auto"/>
          <w:lang w:val="en-US"/>
        </w:rPr>
        <w:t xml:space="preserve">s of the Bank. </w:t>
      </w:r>
    </w:p>
    <w:p w:rsidR="006D3E67" w:rsidRPr="00E27EED" w:rsidRDefault="006D3E67" w:rsidP="006D3E67">
      <w:pPr>
        <w:pStyle w:val="pj"/>
        <w:rPr>
          <w:rStyle w:val="s0"/>
          <w:color w:val="auto"/>
          <w:lang w:val="en-US"/>
        </w:rPr>
      </w:pPr>
      <w:r w:rsidRPr="00E27EED">
        <w:rPr>
          <w:rStyle w:val="s0"/>
          <w:color w:val="auto"/>
          <w:lang w:val="en-US"/>
        </w:rPr>
        <w:t>The registered address of the Bank’s head office is</w:t>
      </w:r>
      <w:r w:rsidR="00E27EED">
        <w:rPr>
          <w:rStyle w:val="s0"/>
          <w:color w:val="auto"/>
          <w:lang w:val="en-US"/>
        </w:rPr>
        <w:t xml:space="preserve"> as follows</w:t>
      </w:r>
      <w:r w:rsidRPr="00E27EED">
        <w:rPr>
          <w:rStyle w:val="s0"/>
          <w:color w:val="auto"/>
          <w:lang w:val="en-US"/>
        </w:rPr>
        <w:t>: 050040, Almaty, 26/29 Timiryazev Street,</w:t>
      </w:r>
      <w:r w:rsidR="00E27EED">
        <w:rPr>
          <w:rStyle w:val="s0"/>
          <w:color w:val="auto"/>
          <w:lang w:val="en-US"/>
        </w:rPr>
        <w:t xml:space="preserve"> the</w:t>
      </w:r>
      <w:r w:rsidRPr="00E27EED">
        <w:rPr>
          <w:rStyle w:val="s0"/>
          <w:color w:val="auto"/>
          <w:lang w:val="en-US"/>
        </w:rPr>
        <w:t xml:space="preserve"> Republic of Kazakhstan. As of December 31, 2025, the Bank had 12 branches within the </w:t>
      </w:r>
      <w:r w:rsidR="00E27EED">
        <w:rPr>
          <w:rStyle w:val="s0"/>
          <w:color w:val="auto"/>
          <w:lang w:val="en-US"/>
        </w:rPr>
        <w:t xml:space="preserve">territory of the </w:t>
      </w:r>
      <w:r w:rsidRPr="00E27EED">
        <w:rPr>
          <w:rStyle w:val="s0"/>
          <w:color w:val="auto"/>
          <w:lang w:val="en-US"/>
        </w:rPr>
        <w:t>Republic of Kazakhstan (as of December 31, 2024: 12 branches).</w:t>
      </w:r>
    </w:p>
    <w:p w:rsidR="006D3E67" w:rsidRPr="00E27EED" w:rsidRDefault="006D3E67" w:rsidP="006D3E67">
      <w:pPr>
        <w:pStyle w:val="pj"/>
        <w:rPr>
          <w:rStyle w:val="s0"/>
          <w:color w:val="auto"/>
          <w:lang w:val="en-US"/>
        </w:rPr>
      </w:pPr>
      <w:r w:rsidRPr="00E27EED">
        <w:rPr>
          <w:rStyle w:val="s0"/>
          <w:color w:val="auto"/>
          <w:lang w:val="en-US"/>
        </w:rPr>
        <w:t xml:space="preserve">The Bank is a member of the Kazakhstan Deposit Insurance Fund (hereinafter referred to as the “KDIF”). The primary objective of the KDIF is to protect the interests of depositors in the event of the compulsory liquidation of a </w:t>
      </w:r>
      <w:r w:rsidR="00E27EED">
        <w:rPr>
          <w:rStyle w:val="s0"/>
          <w:color w:val="auto"/>
          <w:lang w:val="en-US"/>
        </w:rPr>
        <w:t xml:space="preserve">fund </w:t>
      </w:r>
      <w:r w:rsidRPr="00E27EED">
        <w:rPr>
          <w:rStyle w:val="s0"/>
          <w:color w:val="auto"/>
          <w:lang w:val="en-US"/>
        </w:rPr>
        <w:t xml:space="preserve">member bank. As of December 31, 2025, depositors are eligible for limited insurance coverage on their deposits, depending on the amount and currency: up to 10,000 thousand </w:t>
      </w:r>
      <w:r w:rsidR="00E27EED">
        <w:rPr>
          <w:rStyle w:val="s0"/>
          <w:color w:val="auto"/>
          <w:lang w:val="en-US"/>
        </w:rPr>
        <w:t>KZT</w:t>
      </w:r>
      <w:r w:rsidRPr="00E27EED">
        <w:rPr>
          <w:rStyle w:val="s0"/>
          <w:color w:val="auto"/>
          <w:lang w:val="en-US"/>
        </w:rPr>
        <w:t xml:space="preserve"> in </w:t>
      </w:r>
      <w:r w:rsidR="00E27EED">
        <w:rPr>
          <w:rStyle w:val="s0"/>
          <w:color w:val="auto"/>
          <w:lang w:val="en-US"/>
        </w:rPr>
        <w:t>KZT</w:t>
      </w:r>
      <w:r w:rsidRPr="00E27EED">
        <w:rPr>
          <w:rStyle w:val="s0"/>
          <w:color w:val="auto"/>
          <w:lang w:val="en-US"/>
        </w:rPr>
        <w:t xml:space="preserve">, up to 5,000 thousand </w:t>
      </w:r>
      <w:r w:rsidR="00E27EED">
        <w:rPr>
          <w:rStyle w:val="s0"/>
          <w:color w:val="auto"/>
          <w:lang w:val="en-US"/>
        </w:rPr>
        <w:t>KZT</w:t>
      </w:r>
      <w:r w:rsidRPr="00E27EED">
        <w:rPr>
          <w:rStyle w:val="s0"/>
          <w:color w:val="auto"/>
          <w:lang w:val="en-US"/>
        </w:rPr>
        <w:t xml:space="preserve"> in foreign currency, and up to 20,000 thousand </w:t>
      </w:r>
      <w:r w:rsidR="00E27EED">
        <w:rPr>
          <w:rStyle w:val="s0"/>
          <w:color w:val="auto"/>
          <w:lang w:val="en-US"/>
        </w:rPr>
        <w:t>KZT</w:t>
      </w:r>
      <w:r w:rsidRPr="00E27EED">
        <w:rPr>
          <w:rStyle w:val="s0"/>
          <w:color w:val="auto"/>
          <w:lang w:val="en-US"/>
        </w:rPr>
        <w:t xml:space="preserve"> for savings deposits in </w:t>
      </w:r>
      <w:r w:rsidR="00E27EED">
        <w:rPr>
          <w:rStyle w:val="s0"/>
          <w:color w:val="auto"/>
          <w:lang w:val="en-US"/>
        </w:rPr>
        <w:t>KZT</w:t>
      </w:r>
      <w:r w:rsidRPr="00E27EED">
        <w:rPr>
          <w:rStyle w:val="s0"/>
          <w:color w:val="auto"/>
          <w:lang w:val="en-US"/>
        </w:rPr>
        <w:t>.</w:t>
      </w:r>
    </w:p>
    <w:p w:rsidR="006D3E67" w:rsidRPr="00E27EED" w:rsidRDefault="006D3E67" w:rsidP="006D3E67">
      <w:pPr>
        <w:pStyle w:val="pj"/>
        <w:rPr>
          <w:rStyle w:val="s0"/>
          <w:color w:val="auto"/>
          <w:lang w:val="en-US"/>
        </w:rPr>
      </w:pPr>
      <w:r w:rsidRPr="00E27EED">
        <w:rPr>
          <w:rStyle w:val="s0"/>
          <w:color w:val="auto"/>
          <w:lang w:val="en-US"/>
        </w:rPr>
        <w:t xml:space="preserve">As of December 31, 2025, and 2024, the Bank’s sole shareholder is VTB Bank (Russia) </w:t>
      </w:r>
      <w:r w:rsidR="00E27EED" w:rsidRPr="00E27EED">
        <w:rPr>
          <w:rStyle w:val="s0"/>
          <w:color w:val="auto"/>
          <w:lang w:val="en-US"/>
        </w:rPr>
        <w:t xml:space="preserve">Public Joint-Stock Company </w:t>
      </w:r>
      <w:r w:rsidRPr="00E27EED">
        <w:rPr>
          <w:rStyle w:val="s0"/>
          <w:color w:val="auto"/>
          <w:lang w:val="en-US"/>
        </w:rPr>
        <w:t>(hereinafter referred to as the “Parent Company”). The ultimate controlling party of the Bank is the Government of the Russian Federation.</w:t>
      </w:r>
    </w:p>
    <w:p w:rsidR="00DF4272" w:rsidRPr="00E27EED" w:rsidRDefault="00DF4272" w:rsidP="006D3E67">
      <w:pPr>
        <w:pStyle w:val="pj"/>
        <w:rPr>
          <w:rStyle w:val="s0"/>
          <w:color w:val="auto"/>
          <w:lang w:val="en-US"/>
        </w:rPr>
      </w:pPr>
      <w:r w:rsidRPr="00E27EED">
        <w:rPr>
          <w:rStyle w:val="s0"/>
          <w:color w:val="auto"/>
          <w:lang w:val="en-US"/>
        </w:rPr>
        <w:t>The Bank’s financial condition is detailed in the Annual Financial Statements for 2024</w:t>
      </w:r>
    </w:p>
    <w:p w:rsidR="00DF4272" w:rsidRPr="00E27EED" w:rsidRDefault="00AF13AC" w:rsidP="000B0C64">
      <w:pPr>
        <w:spacing w:after="0" w:line="240" w:lineRule="auto"/>
        <w:jc w:val="both"/>
        <w:rPr>
          <w:rStyle w:val="s19"/>
          <w:color w:val="auto"/>
          <w:sz w:val="24"/>
          <w:szCs w:val="24"/>
          <w:lang w:val="en-US"/>
        </w:rPr>
      </w:pPr>
      <w:hyperlink r:id="rId8" w:history="1">
        <w:r w:rsidR="00767A3F" w:rsidRPr="00E27EED">
          <w:rPr>
            <w:rStyle w:val="ab"/>
            <w:rFonts w:ascii="Times New Roman" w:hAnsi="Times New Roman" w:cs="Times New Roman"/>
            <w:sz w:val="24"/>
            <w:szCs w:val="24"/>
            <w:lang w:val="en-US"/>
          </w:rPr>
          <w:t>https://www.vtb-bank.kz/about/finansovye-dokumenty/finansovaya- otchetnost/FS_VTB_2025_rus.pdf</w:t>
        </w:r>
      </w:hyperlink>
      <w:r w:rsidR="00767A3F" w:rsidRPr="00E27EED">
        <w:rPr>
          <w:rStyle w:val="s19"/>
          <w:color w:val="auto"/>
          <w:sz w:val="24"/>
          <w:szCs w:val="24"/>
          <w:lang w:val="en-US"/>
        </w:rPr>
        <w:t xml:space="preserve"> </w:t>
      </w:r>
    </w:p>
    <w:p w:rsidR="009D17E1" w:rsidRPr="00E27EED" w:rsidRDefault="006F7FFD" w:rsidP="000B0C64">
      <w:pPr>
        <w:pStyle w:val="1"/>
        <w:jc w:val="both"/>
        <w:rPr>
          <w:rStyle w:val="s19"/>
          <w:b/>
          <w:color w:val="auto"/>
          <w:sz w:val="24"/>
          <w:szCs w:val="24"/>
          <w:lang w:val="en-US"/>
        </w:rPr>
      </w:pPr>
      <w:bookmarkStart w:id="1" w:name="_Toc233981982"/>
      <w:r w:rsidRPr="00E27EED">
        <w:rPr>
          <w:rStyle w:val="s19"/>
          <w:b/>
          <w:color w:val="auto"/>
          <w:sz w:val="24"/>
          <w:szCs w:val="24"/>
          <w:lang w:val="en-US"/>
        </w:rPr>
        <w:t xml:space="preserve">2. </w:t>
      </w:r>
      <w:r w:rsidR="009D17E1" w:rsidRPr="00E27EED">
        <w:rPr>
          <w:rStyle w:val="s19"/>
          <w:b/>
          <w:color w:val="auto"/>
          <w:sz w:val="24"/>
          <w:szCs w:val="24"/>
          <w:lang w:val="en-US"/>
        </w:rPr>
        <w:t>Procedures for the Implementation of the Risk Management Policy by the Bank’s Board of Directors and Management Board</w:t>
      </w:r>
      <w:bookmarkEnd w:id="1"/>
    </w:p>
    <w:p w:rsidR="009D17E1" w:rsidRPr="00E27EED" w:rsidRDefault="009D17E1" w:rsidP="000B0C64">
      <w:pPr>
        <w:spacing w:line="240" w:lineRule="auto"/>
        <w:ind w:firstLine="567"/>
        <w:jc w:val="both"/>
        <w:textAlignment w:val="baseline"/>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The Bank’s Board of Directors has approved the Risk Management Policy, which sets forth the fundamental principles governing the Bank’s risk management framework. In accordance with this policy, the Bank’s Board of Directors ensures the existence of a risk management system appropriate to the chosen business model, the scale of operations, and the types and complexity of transactions, and ensures an adequate process for identifying, measuring, assessing, monitoring, controlling, and mitigating material risks to ensure the Bank’s financial stability and </w:t>
      </w:r>
      <w:r w:rsidR="00E27EED">
        <w:rPr>
          <w:rStyle w:val="s19"/>
          <w:rFonts w:eastAsiaTheme="minorEastAsia"/>
          <w:color w:val="auto"/>
          <w:sz w:val="24"/>
          <w:szCs w:val="24"/>
          <w:lang w:val="en-US" w:eastAsia="ru-RU"/>
        </w:rPr>
        <w:t>stable functioning</w:t>
      </w:r>
      <w:r w:rsidRPr="00E27EED">
        <w:rPr>
          <w:rStyle w:val="s19"/>
          <w:rFonts w:eastAsiaTheme="minorEastAsia"/>
          <w:color w:val="auto"/>
          <w:sz w:val="24"/>
          <w:szCs w:val="24"/>
          <w:lang w:val="en-US" w:eastAsia="ru-RU"/>
        </w:rPr>
        <w:t xml:space="preserve">. </w:t>
      </w:r>
    </w:p>
    <w:p w:rsidR="009D17E1" w:rsidRPr="00E27EED" w:rsidRDefault="009D17E1" w:rsidP="000B0C64">
      <w:pPr>
        <w:pStyle w:val="pj"/>
        <w:rPr>
          <w:rStyle w:val="s19"/>
          <w:color w:val="auto"/>
          <w:lang w:val="en-US"/>
        </w:rPr>
      </w:pPr>
      <w:r w:rsidRPr="00E27EED">
        <w:rPr>
          <w:rStyle w:val="s19"/>
          <w:color w:val="auto"/>
          <w:lang w:val="en-US"/>
        </w:rPr>
        <w:t xml:space="preserve">The exclusive authority of the Bank’s Board of Directors with regard to risk management includes the powers </w:t>
      </w:r>
      <w:r w:rsidR="00B30A0A">
        <w:rPr>
          <w:rStyle w:val="s19"/>
          <w:color w:val="auto"/>
          <w:lang w:val="en-US"/>
        </w:rPr>
        <w:t>regulated by</w:t>
      </w:r>
      <w:r w:rsidRPr="00E27EED">
        <w:rPr>
          <w:rStyle w:val="s19"/>
          <w:color w:val="auto"/>
          <w:lang w:val="en-US"/>
        </w:rPr>
        <w:t xml:space="preserve"> the Bank’s Charter, the Bank’s internal documents, and the Regulations on the Bank’s Board of Directors. To effectively fulfill its responsibilities, the Bank’s Board of Directors monitors and oversees risk management, internal audit, and compliance with the </w:t>
      </w:r>
      <w:r w:rsidR="00B30A0A">
        <w:rPr>
          <w:rStyle w:val="s19"/>
          <w:color w:val="auto"/>
          <w:lang w:val="en-US"/>
        </w:rPr>
        <w:t xml:space="preserve">requirements of the </w:t>
      </w:r>
      <w:r w:rsidRPr="00E27EED">
        <w:rPr>
          <w:rStyle w:val="s19"/>
          <w:color w:val="auto"/>
          <w:lang w:val="en-US"/>
        </w:rPr>
        <w:t xml:space="preserve">laws of the Republic of Kazakhstan and the Bank’s internal documents through interaction with the authorized collegial bodies under the Board of Directors, the Bank’s Management Board, and the Head of Risk Management. </w:t>
      </w:r>
      <w:r w:rsidR="00292923" w:rsidRPr="00E27EED">
        <w:rPr>
          <w:rStyle w:val="s19"/>
          <w:color w:val="auto"/>
          <w:lang w:val="en-US"/>
        </w:rPr>
        <w:t>The Risk Management Committee</w:t>
      </w:r>
      <w:r w:rsidRPr="00E27EED">
        <w:rPr>
          <w:rStyle w:val="s19"/>
          <w:color w:val="auto"/>
          <w:lang w:val="en-US"/>
        </w:rPr>
        <w:t xml:space="preserve"> operates under the Bank’s Board of Directors and carries out its activities in accordance with the Regulations defining its powers, authority, and operating principles. </w:t>
      </w:r>
    </w:p>
    <w:p w:rsidR="009D17E1" w:rsidRPr="00E27EED" w:rsidRDefault="009D17E1" w:rsidP="000B0C64">
      <w:pPr>
        <w:pStyle w:val="pj"/>
        <w:rPr>
          <w:rStyle w:val="s19"/>
          <w:color w:val="auto"/>
          <w:lang w:val="en-US"/>
        </w:rPr>
      </w:pPr>
      <w:r w:rsidRPr="00E27EED">
        <w:rPr>
          <w:rStyle w:val="s19"/>
          <w:color w:val="auto"/>
          <w:lang w:val="en-US"/>
        </w:rPr>
        <w:t>The primary responsibilities of the Bank’s Board of Directors within the risk management system include those defined by regulatory requirements and the Bank’s I</w:t>
      </w:r>
      <w:r w:rsidR="00B30A0A">
        <w:rPr>
          <w:rStyle w:val="s19"/>
          <w:color w:val="auto"/>
          <w:lang w:val="en-US"/>
        </w:rPr>
        <w:t>RDs</w:t>
      </w:r>
      <w:r w:rsidRPr="00E27EED">
        <w:rPr>
          <w:rStyle w:val="s19"/>
          <w:color w:val="auto"/>
          <w:lang w:val="en-US"/>
        </w:rPr>
        <w:t xml:space="preserve">, but are not limited to: making sound decisions and acting in good faith in the Bank’s best interests; active involvement in the Bank’s </w:t>
      </w:r>
      <w:r w:rsidR="00B30A0A">
        <w:rPr>
          <w:rStyle w:val="s19"/>
          <w:color w:val="auto"/>
          <w:lang w:val="en-US"/>
        </w:rPr>
        <w:t>activities</w:t>
      </w:r>
      <w:r w:rsidRPr="00E27EED">
        <w:rPr>
          <w:rStyle w:val="s19"/>
          <w:color w:val="auto"/>
          <w:lang w:val="en-US"/>
        </w:rPr>
        <w:t xml:space="preserve"> and awareness of material changes in the Bank’s activities; approval of the Bank’s I</w:t>
      </w:r>
      <w:r w:rsidR="00B30A0A">
        <w:rPr>
          <w:rStyle w:val="s19"/>
          <w:color w:val="auto"/>
          <w:lang w:val="en-US"/>
        </w:rPr>
        <w:t>RDs</w:t>
      </w:r>
      <w:r w:rsidRPr="00E27EED">
        <w:rPr>
          <w:rStyle w:val="s19"/>
          <w:color w:val="auto"/>
          <w:lang w:val="en-US"/>
        </w:rPr>
        <w:t xml:space="preserve"> within the </w:t>
      </w:r>
      <w:r w:rsidR="00B30A0A">
        <w:rPr>
          <w:rStyle w:val="s19"/>
          <w:color w:val="auto"/>
          <w:lang w:val="en-US"/>
        </w:rPr>
        <w:t xml:space="preserve">competence </w:t>
      </w:r>
      <w:r w:rsidRPr="00E27EED">
        <w:rPr>
          <w:rStyle w:val="s19"/>
          <w:color w:val="auto"/>
          <w:lang w:val="en-US"/>
        </w:rPr>
        <w:t>of the Board of Directors; approv</w:t>
      </w:r>
      <w:r w:rsidR="00B30A0A">
        <w:rPr>
          <w:rStyle w:val="s19"/>
          <w:color w:val="auto"/>
          <w:lang w:val="en-US"/>
        </w:rPr>
        <w:t xml:space="preserve">ing </w:t>
      </w:r>
      <w:r w:rsidRPr="00E27EED">
        <w:rPr>
          <w:rStyle w:val="s19"/>
          <w:color w:val="auto"/>
          <w:lang w:val="en-US"/>
        </w:rPr>
        <w:t xml:space="preserve">and </w:t>
      </w:r>
      <w:r w:rsidR="00B30A0A">
        <w:rPr>
          <w:rStyle w:val="s19"/>
          <w:color w:val="auto"/>
          <w:lang w:val="en-US"/>
        </w:rPr>
        <w:t xml:space="preserve">exercising control </w:t>
      </w:r>
      <w:r w:rsidR="00B30A0A">
        <w:rPr>
          <w:rStyle w:val="s19"/>
          <w:color w:val="auto"/>
          <w:lang w:val="en-US"/>
        </w:rPr>
        <w:lastRenderedPageBreak/>
        <w:t xml:space="preserve">over </w:t>
      </w:r>
      <w:r w:rsidRPr="00E27EED">
        <w:rPr>
          <w:rStyle w:val="s19"/>
          <w:color w:val="auto"/>
          <w:lang w:val="en-US"/>
        </w:rPr>
        <w:t>compliance with the Bank’s Risk Appetite Strategy and risk appetite levels; election of members of the Management Board and appointment of the Head of Risk Management; reviewing reports submitted to the Board of Directors</w:t>
      </w:r>
      <w:r w:rsidR="00B30A0A">
        <w:rPr>
          <w:rStyle w:val="s19"/>
          <w:color w:val="auto"/>
          <w:lang w:val="en-US"/>
        </w:rPr>
        <w:t xml:space="preserve"> for consideration</w:t>
      </w:r>
      <w:r w:rsidRPr="00E27EED">
        <w:rPr>
          <w:rStyle w:val="s19"/>
          <w:color w:val="auto"/>
          <w:lang w:val="en-US"/>
        </w:rPr>
        <w:t>; ensuring the establishment of three lines of defense within the Bank; and other functions specified by regulator</w:t>
      </w:r>
      <w:r w:rsidR="00B30A0A">
        <w:rPr>
          <w:rStyle w:val="s19"/>
          <w:color w:val="auto"/>
          <w:lang w:val="en-US"/>
        </w:rPr>
        <w:t>’s</w:t>
      </w:r>
      <w:r w:rsidRPr="00E27EED">
        <w:rPr>
          <w:rStyle w:val="s19"/>
          <w:color w:val="auto"/>
          <w:lang w:val="en-US"/>
        </w:rPr>
        <w:t xml:space="preserve"> requirements and the Bank’s I</w:t>
      </w:r>
      <w:r w:rsidR="00B30A0A">
        <w:rPr>
          <w:rStyle w:val="s19"/>
          <w:color w:val="auto"/>
          <w:lang w:val="en-US"/>
        </w:rPr>
        <w:t>RDs</w:t>
      </w:r>
      <w:r w:rsidRPr="00E27EED">
        <w:rPr>
          <w:rStyle w:val="s19"/>
          <w:color w:val="auto"/>
          <w:lang w:val="en-US"/>
        </w:rPr>
        <w:t>.</w:t>
      </w:r>
    </w:p>
    <w:p w:rsidR="00292923" w:rsidRPr="00E27EED" w:rsidRDefault="00292923" w:rsidP="000B0C64">
      <w:pPr>
        <w:pStyle w:val="pj"/>
        <w:rPr>
          <w:rStyle w:val="s19"/>
          <w:color w:val="auto"/>
          <w:lang w:val="en-US"/>
        </w:rPr>
      </w:pPr>
      <w:r w:rsidRPr="00E27EED">
        <w:rPr>
          <w:rStyle w:val="s19"/>
          <w:color w:val="auto"/>
          <w:lang w:val="en-US"/>
        </w:rPr>
        <w:t xml:space="preserve">The main responsibilities of the Bank’s </w:t>
      </w:r>
      <w:r w:rsidR="00B30A0A">
        <w:rPr>
          <w:rStyle w:val="s19"/>
          <w:color w:val="auto"/>
          <w:lang w:val="en-US"/>
        </w:rPr>
        <w:t xml:space="preserve">RMC </w:t>
      </w:r>
      <w:r w:rsidRPr="00E27EED">
        <w:rPr>
          <w:rStyle w:val="s19"/>
          <w:color w:val="auto"/>
          <w:lang w:val="en-US"/>
        </w:rPr>
        <w:t>within the risk management system include</w:t>
      </w:r>
      <w:r w:rsidR="00B30A0A">
        <w:rPr>
          <w:rStyle w:val="s19"/>
          <w:color w:val="auto"/>
          <w:lang w:val="en-US"/>
        </w:rPr>
        <w:t xml:space="preserve"> the following responsibilities</w:t>
      </w:r>
      <w:r w:rsidRPr="00E27EED">
        <w:rPr>
          <w:rStyle w:val="s19"/>
          <w:color w:val="auto"/>
          <w:lang w:val="en-US"/>
        </w:rPr>
        <w:t>: ensuring the development of the Risk Appetite Strategy and risk appetite levels, and defining the Bank’s risk profile; ensuring the development and submission for approval by the Bank’s Board of Directors of</w:t>
      </w:r>
      <w:r w:rsidR="00B30A0A">
        <w:rPr>
          <w:rStyle w:val="s19"/>
          <w:color w:val="auto"/>
          <w:lang w:val="en-US"/>
        </w:rPr>
        <w:t xml:space="preserve"> the following</w:t>
      </w:r>
      <w:r w:rsidRPr="00E27EED">
        <w:rPr>
          <w:rStyle w:val="s19"/>
          <w:color w:val="auto"/>
          <w:lang w:val="en-US"/>
        </w:rPr>
        <w:t xml:space="preserve">: a document regulating the basic </w:t>
      </w:r>
      <w:r w:rsidRPr="00B30A0A">
        <w:rPr>
          <w:rStyle w:val="s19"/>
          <w:color w:val="auto"/>
          <w:lang w:val="en-US"/>
        </w:rPr>
        <w:t xml:space="preserve">approaches and principles of </w:t>
      </w:r>
      <w:r w:rsidR="00B30A0A">
        <w:rPr>
          <w:rStyle w:val="s19"/>
          <w:color w:val="auto"/>
          <w:lang w:val="en-US"/>
        </w:rPr>
        <w:t xml:space="preserve">ICAAP </w:t>
      </w:r>
      <w:r w:rsidRPr="00B30A0A">
        <w:rPr>
          <w:rStyle w:val="s19"/>
          <w:color w:val="auto"/>
          <w:lang w:val="en-US"/>
        </w:rPr>
        <w:t xml:space="preserve">and </w:t>
      </w:r>
      <w:r w:rsidR="00B30A0A">
        <w:rPr>
          <w:rStyle w:val="s19"/>
          <w:color w:val="auto"/>
          <w:lang w:val="en-US"/>
        </w:rPr>
        <w:t>ILAAP</w:t>
      </w:r>
      <w:r w:rsidRPr="00B30A0A">
        <w:rPr>
          <w:rStyle w:val="s19"/>
          <w:color w:val="auto"/>
          <w:lang w:val="en-US"/>
        </w:rPr>
        <w:t>,</w:t>
      </w:r>
      <w:r w:rsidRPr="00E27EED">
        <w:rPr>
          <w:rStyle w:val="s19"/>
          <w:color w:val="auto"/>
          <w:lang w:val="en-US"/>
        </w:rPr>
        <w:t xml:space="preserve"> procedures for conducting stress tests and stress test scenarios, the Bank’s Business Continuity Management Policy, the </w:t>
      </w:r>
      <w:r w:rsidR="00B30A0A">
        <w:rPr>
          <w:rStyle w:val="s19"/>
          <w:color w:val="auto"/>
          <w:lang w:val="en-US"/>
        </w:rPr>
        <w:t>CFP</w:t>
      </w:r>
      <w:r w:rsidRPr="00E27EED">
        <w:rPr>
          <w:rStyle w:val="s19"/>
          <w:color w:val="auto"/>
          <w:lang w:val="en-US"/>
        </w:rPr>
        <w:t xml:space="preserve">, the Bank’s operational risk management policy, information technology and information security risk management policies, compliance risk management policy, and internal regulations governing the functioning of the management information system, which ensures that the Bank’s Board of Directors is provided, on a regular basis, with complete, accurate, and timely information regarding the level of risks assumed by the Bank. </w:t>
      </w:r>
    </w:p>
    <w:p w:rsidR="00292923" w:rsidRPr="00E27EED" w:rsidRDefault="00292923" w:rsidP="000B0C64">
      <w:pPr>
        <w:pStyle w:val="pj"/>
        <w:rPr>
          <w:rStyle w:val="s19"/>
          <w:color w:val="auto"/>
          <w:lang w:val="en-US"/>
        </w:rPr>
      </w:pPr>
      <w:r w:rsidRPr="00E27EED">
        <w:rPr>
          <w:rStyle w:val="s19"/>
          <w:color w:val="auto"/>
          <w:lang w:val="en-US"/>
        </w:rPr>
        <w:t xml:space="preserve">The Bank’s Management Board </w:t>
      </w:r>
      <w:r w:rsidR="00233EAB">
        <w:rPr>
          <w:rStyle w:val="s19"/>
          <w:color w:val="auto"/>
          <w:lang w:val="en-US"/>
        </w:rPr>
        <w:t>manages</w:t>
      </w:r>
      <w:r w:rsidRPr="00E27EED">
        <w:rPr>
          <w:rStyle w:val="s19"/>
          <w:color w:val="auto"/>
          <w:lang w:val="en-US"/>
        </w:rPr>
        <w:t xml:space="preserve"> the Bank’s day-to-day operations in accordance with the chosen business model, the scale of operations, the types and complexity of transactions, the risk profile, and the Bank’s I</w:t>
      </w:r>
      <w:r w:rsidR="00233EAB">
        <w:rPr>
          <w:rStyle w:val="s19"/>
          <w:color w:val="auto"/>
          <w:lang w:val="en-US"/>
        </w:rPr>
        <w:t>RDs</w:t>
      </w:r>
      <w:r w:rsidRPr="00E27EED">
        <w:rPr>
          <w:rStyle w:val="s19"/>
          <w:color w:val="auto"/>
          <w:lang w:val="en-US"/>
        </w:rPr>
        <w:t>, as approved by the Bank’s Board of Directors.</w:t>
      </w:r>
    </w:p>
    <w:p w:rsidR="00292923" w:rsidRPr="00E27EED" w:rsidRDefault="00292923" w:rsidP="000B0C64">
      <w:pPr>
        <w:pStyle w:val="pj"/>
        <w:rPr>
          <w:rStyle w:val="s19"/>
          <w:color w:val="auto"/>
          <w:lang w:val="en-US"/>
        </w:rPr>
      </w:pPr>
      <w:r w:rsidRPr="00E27EED">
        <w:rPr>
          <w:rStyle w:val="s19"/>
          <w:color w:val="auto"/>
          <w:lang w:val="en-US"/>
        </w:rPr>
        <w:t xml:space="preserve">The Bank’s Management Board’s primary responsibilities within the risk management system include, but are not limited to, those defined by the requirements of </w:t>
      </w:r>
      <w:r w:rsidR="00233EAB">
        <w:rPr>
          <w:rStyle w:val="s19"/>
          <w:color w:val="auto"/>
          <w:lang w:val="en-US"/>
        </w:rPr>
        <w:t xml:space="preserve">the </w:t>
      </w:r>
      <w:r w:rsidRPr="00E27EED">
        <w:rPr>
          <w:rStyle w:val="s19"/>
          <w:color w:val="auto"/>
          <w:lang w:val="en-US"/>
        </w:rPr>
        <w:t>R</w:t>
      </w:r>
      <w:r w:rsidR="00233EAB">
        <w:rPr>
          <w:rStyle w:val="s19"/>
          <w:color w:val="auto"/>
          <w:lang w:val="en-US"/>
        </w:rPr>
        <w:t xml:space="preserve">ules No. </w:t>
      </w:r>
      <w:r w:rsidRPr="00E27EED">
        <w:rPr>
          <w:rStyle w:val="s19"/>
          <w:color w:val="auto"/>
          <w:lang w:val="en-US"/>
        </w:rPr>
        <w:t>188 and the Bank’s I</w:t>
      </w:r>
      <w:r w:rsidR="00233EAB">
        <w:rPr>
          <w:rStyle w:val="s19"/>
          <w:color w:val="auto"/>
          <w:lang w:val="en-US"/>
        </w:rPr>
        <w:t>RDs</w:t>
      </w:r>
      <w:r w:rsidRPr="00E27EED">
        <w:rPr>
          <w:rStyle w:val="s19"/>
          <w:color w:val="auto"/>
          <w:lang w:val="en-US"/>
        </w:rPr>
        <w:t xml:space="preserve">: responsibility for developing the Bank’s </w:t>
      </w:r>
      <w:r w:rsidR="00233EAB">
        <w:rPr>
          <w:rStyle w:val="s19"/>
          <w:color w:val="auto"/>
          <w:lang w:val="en-US"/>
        </w:rPr>
        <w:t>IRDs</w:t>
      </w:r>
      <w:r w:rsidRPr="00E27EED">
        <w:rPr>
          <w:rStyle w:val="s19"/>
          <w:color w:val="auto"/>
          <w:lang w:val="en-US"/>
        </w:rPr>
        <w:t>, which are approved by the Bank’s Board of Directors, and providing preliminary approval of reports submitted to the Bank’s Board of Directors for consideration; monitoring compliance with the limits and restrictions established by the Bank’s Board of Directors.</w:t>
      </w:r>
    </w:p>
    <w:p w:rsidR="00292923" w:rsidRPr="00E27EED" w:rsidRDefault="00292923" w:rsidP="000B0C64">
      <w:pPr>
        <w:spacing w:after="0" w:line="240" w:lineRule="auto"/>
        <w:ind w:firstLine="567"/>
        <w:jc w:val="both"/>
        <w:textAlignment w:val="baseline"/>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The organizational structure of risk management aligns with the Bank’s business model, the scale of its operations, and the types and complexity of its transactions; it minimizes conflicts of interest and distributes risk management authority among collegial bodies and structural </w:t>
      </w:r>
      <w:r w:rsidR="00233EAB">
        <w:rPr>
          <w:rStyle w:val="s19"/>
          <w:rFonts w:eastAsiaTheme="minorEastAsia"/>
          <w:color w:val="auto"/>
          <w:sz w:val="24"/>
          <w:szCs w:val="24"/>
          <w:lang w:val="en-US" w:eastAsia="ru-RU"/>
        </w:rPr>
        <w:t>subdivisions</w:t>
      </w:r>
      <w:r w:rsidRPr="00E27EED">
        <w:rPr>
          <w:rStyle w:val="s19"/>
          <w:rFonts w:eastAsiaTheme="minorEastAsia"/>
          <w:color w:val="auto"/>
          <w:sz w:val="24"/>
          <w:szCs w:val="24"/>
          <w:lang w:val="en-US" w:eastAsia="ru-RU"/>
        </w:rPr>
        <w:t xml:space="preserve">, including: the Bank’s Board of Directors, the Bank’s Risk Management Committee, other collegial bodies under the Bank’s Board of Directors, the Bank’s Management Board, collegial bodies under the Bank’s Management Board, the Treasury and Financial Management Department, the Internal Audit Department, and the Bank’s structural </w:t>
      </w:r>
      <w:r w:rsidR="00233EAB">
        <w:rPr>
          <w:rStyle w:val="s19"/>
          <w:rFonts w:eastAsiaTheme="minorEastAsia"/>
          <w:color w:val="auto"/>
          <w:sz w:val="24"/>
          <w:szCs w:val="24"/>
          <w:lang w:val="en-US" w:eastAsia="ru-RU"/>
        </w:rPr>
        <w:t>subdivisions</w:t>
      </w:r>
      <w:r w:rsidRPr="00E27EED">
        <w:rPr>
          <w:rStyle w:val="s19"/>
          <w:rFonts w:eastAsiaTheme="minorEastAsia"/>
          <w:color w:val="auto"/>
          <w:sz w:val="24"/>
          <w:szCs w:val="24"/>
          <w:lang w:val="en-US" w:eastAsia="ru-RU"/>
        </w:rPr>
        <w:t xml:space="preserve"> providing the second line of defense and the Bank’s structural </w:t>
      </w:r>
      <w:r w:rsidR="00233EAB">
        <w:rPr>
          <w:rStyle w:val="s19"/>
          <w:rFonts w:eastAsiaTheme="minorEastAsia"/>
          <w:color w:val="auto"/>
          <w:sz w:val="24"/>
          <w:szCs w:val="24"/>
          <w:lang w:val="en-US" w:eastAsia="ru-RU"/>
        </w:rPr>
        <w:t>subdivisions</w:t>
      </w:r>
      <w:r w:rsidR="00233EAB" w:rsidRPr="00E27EED">
        <w:rPr>
          <w:rStyle w:val="s19"/>
          <w:rFonts w:eastAsiaTheme="minorEastAsia"/>
          <w:color w:val="auto"/>
          <w:sz w:val="24"/>
          <w:szCs w:val="24"/>
          <w:lang w:val="en-US" w:eastAsia="ru-RU"/>
        </w:rPr>
        <w:t xml:space="preserve"> </w:t>
      </w:r>
      <w:r w:rsidRPr="00E27EED">
        <w:rPr>
          <w:rStyle w:val="s19"/>
          <w:rFonts w:eastAsiaTheme="minorEastAsia"/>
          <w:color w:val="auto"/>
          <w:sz w:val="24"/>
          <w:szCs w:val="24"/>
          <w:lang w:val="en-US" w:eastAsia="ru-RU"/>
        </w:rPr>
        <w:t>providing the first line of defense.</w:t>
      </w:r>
    </w:p>
    <w:p w:rsidR="00292923" w:rsidRPr="00E27EED" w:rsidRDefault="00292923" w:rsidP="000B0C64">
      <w:pPr>
        <w:spacing w:after="0" w:line="240" w:lineRule="auto"/>
        <w:ind w:firstLine="567"/>
        <w:jc w:val="both"/>
        <w:textAlignment w:val="baseline"/>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The key principles, responsibilities, and procedures for interaction between the Bank’s Board of Directors, Management Board, </w:t>
      </w:r>
      <w:r w:rsidR="00233EAB">
        <w:rPr>
          <w:rStyle w:val="s19"/>
          <w:rFonts w:eastAsiaTheme="minorEastAsia"/>
          <w:color w:val="auto"/>
          <w:sz w:val="24"/>
          <w:szCs w:val="24"/>
          <w:lang w:val="en-US" w:eastAsia="ru-RU"/>
        </w:rPr>
        <w:t>ACBs</w:t>
      </w:r>
      <w:r w:rsidRPr="00E27EED">
        <w:rPr>
          <w:rStyle w:val="s19"/>
          <w:rFonts w:eastAsiaTheme="minorEastAsia"/>
          <w:color w:val="auto"/>
          <w:sz w:val="24"/>
          <w:szCs w:val="24"/>
          <w:lang w:val="en-US" w:eastAsia="ru-RU"/>
        </w:rPr>
        <w:t xml:space="preserve">, and independent </w:t>
      </w:r>
      <w:r w:rsidR="00233EAB" w:rsidRPr="00E27EED">
        <w:rPr>
          <w:rStyle w:val="s19"/>
          <w:rFonts w:eastAsiaTheme="minorEastAsia"/>
          <w:color w:val="auto"/>
          <w:sz w:val="24"/>
          <w:szCs w:val="24"/>
          <w:lang w:val="en-US" w:eastAsia="ru-RU"/>
        </w:rPr>
        <w:t xml:space="preserve">structural </w:t>
      </w:r>
      <w:r w:rsidR="00233EAB">
        <w:rPr>
          <w:rStyle w:val="s19"/>
          <w:rFonts w:eastAsiaTheme="minorEastAsia"/>
          <w:color w:val="auto"/>
          <w:sz w:val="24"/>
          <w:szCs w:val="24"/>
          <w:lang w:val="en-US" w:eastAsia="ru-RU"/>
        </w:rPr>
        <w:t>subdivisions</w:t>
      </w:r>
      <w:r w:rsidR="00233EAB" w:rsidRPr="00E27EED">
        <w:rPr>
          <w:rStyle w:val="s19"/>
          <w:rFonts w:eastAsiaTheme="minorEastAsia"/>
          <w:color w:val="auto"/>
          <w:sz w:val="24"/>
          <w:szCs w:val="24"/>
          <w:lang w:val="en-US" w:eastAsia="ru-RU"/>
        </w:rPr>
        <w:t xml:space="preserve"> </w:t>
      </w:r>
      <w:r w:rsidRPr="00E27EED">
        <w:rPr>
          <w:rStyle w:val="s19"/>
          <w:rFonts w:eastAsiaTheme="minorEastAsia"/>
          <w:color w:val="auto"/>
          <w:sz w:val="24"/>
          <w:szCs w:val="24"/>
          <w:lang w:val="en-US" w:eastAsia="ru-RU"/>
        </w:rPr>
        <w:t xml:space="preserve">within the Bank’s risk management system are </w:t>
      </w:r>
      <w:r w:rsidR="00233EAB">
        <w:rPr>
          <w:rStyle w:val="s19"/>
          <w:rFonts w:eastAsiaTheme="minorEastAsia"/>
          <w:color w:val="auto"/>
          <w:sz w:val="24"/>
          <w:szCs w:val="24"/>
          <w:lang w:val="en-US" w:eastAsia="ru-RU"/>
        </w:rPr>
        <w:t xml:space="preserve">reflected </w:t>
      </w:r>
      <w:r w:rsidRPr="00E27EED">
        <w:rPr>
          <w:rStyle w:val="s19"/>
          <w:rFonts w:eastAsiaTheme="minorEastAsia"/>
          <w:color w:val="auto"/>
          <w:sz w:val="24"/>
          <w:szCs w:val="24"/>
          <w:lang w:val="en-US" w:eastAsia="ru-RU"/>
        </w:rPr>
        <w:t>in the Bank’s relevant internal risk management documents.</w:t>
      </w:r>
    </w:p>
    <w:p w:rsidR="00292923" w:rsidRPr="00E27EED" w:rsidRDefault="00292923" w:rsidP="000B0C64">
      <w:pPr>
        <w:pStyle w:val="pj"/>
        <w:rPr>
          <w:rStyle w:val="s19"/>
          <w:color w:val="auto"/>
          <w:lang w:val="en-US"/>
        </w:rPr>
      </w:pPr>
    </w:p>
    <w:p w:rsidR="006F7FFD" w:rsidRPr="00E27EED" w:rsidRDefault="006F7FFD" w:rsidP="000B0C64">
      <w:pPr>
        <w:spacing w:after="0" w:line="240" w:lineRule="auto"/>
        <w:ind w:firstLine="567"/>
        <w:jc w:val="both"/>
        <w:textAlignment w:val="baseline"/>
        <w:rPr>
          <w:rFonts w:ascii="Times New Roman" w:hAnsi="Times New Roman" w:cs="Times New Roman"/>
          <w:sz w:val="24"/>
          <w:lang w:val="en-US"/>
        </w:rPr>
      </w:pPr>
      <w:r w:rsidRPr="00E27EED">
        <w:rPr>
          <w:rFonts w:ascii="Times New Roman" w:hAnsi="Times New Roman" w:cs="Times New Roman"/>
          <w:sz w:val="24"/>
          <w:lang w:val="en-US"/>
        </w:rPr>
        <w:t xml:space="preserve">Risk management procedures ensure a timely response to new risks, their clear identification, and the designation of risk owners. To ensure a comprehensive and clear understanding of the risks inherent in the Bank, risks are identified and assessed on an annual basis; these are reflected in the risk map, the list of material risks, and the risk appetite statement for the coming year, all of which are approved by the Board of Directors. Approaches to risk identification, procedures for identifying and assessing risks, the determination of response methods, and monitoring are </w:t>
      </w:r>
      <w:r w:rsidR="00233EAB">
        <w:rPr>
          <w:rFonts w:ascii="Times New Roman" w:hAnsi="Times New Roman" w:cs="Times New Roman"/>
          <w:sz w:val="24"/>
          <w:lang w:val="en-US"/>
        </w:rPr>
        <w:t>stipulated</w:t>
      </w:r>
      <w:r w:rsidRPr="00E27EED">
        <w:rPr>
          <w:rFonts w:ascii="Times New Roman" w:hAnsi="Times New Roman" w:cs="Times New Roman"/>
          <w:sz w:val="24"/>
          <w:lang w:val="en-US"/>
        </w:rPr>
        <w:t xml:space="preserve"> in internal documents within the risk management system.</w:t>
      </w:r>
    </w:p>
    <w:p w:rsidR="006F7FFD" w:rsidRPr="00E27EED" w:rsidRDefault="006F7FFD" w:rsidP="000B0C64">
      <w:pPr>
        <w:spacing w:after="0" w:line="240" w:lineRule="auto"/>
        <w:ind w:firstLine="567"/>
        <w:jc w:val="both"/>
        <w:textAlignment w:val="baseline"/>
        <w:rPr>
          <w:rFonts w:ascii="Times New Roman" w:hAnsi="Times New Roman" w:cs="Times New Roman"/>
          <w:sz w:val="24"/>
          <w:lang w:val="en-US"/>
        </w:rPr>
      </w:pPr>
      <w:r w:rsidRPr="00E27EED">
        <w:rPr>
          <w:rFonts w:ascii="Times New Roman" w:hAnsi="Times New Roman" w:cs="Times New Roman"/>
          <w:sz w:val="24"/>
          <w:lang w:val="en-US"/>
        </w:rPr>
        <w:t>A key factor in the Bank’s strong risk management culture is the regular provision of information to the Bank’s authorized collegial bodies, including the Board of Directors, on risk-related matters, including risk management policies and procedures. The Bank’s Board of Directors and Risk Management Committee regularly receive data and reports from the risk management departments and other responsible departments</w:t>
      </w:r>
      <w:r w:rsidR="00233EAB">
        <w:rPr>
          <w:rFonts w:ascii="Times New Roman" w:hAnsi="Times New Roman" w:cs="Times New Roman"/>
          <w:sz w:val="24"/>
          <w:lang w:val="en-US"/>
        </w:rPr>
        <w:t xml:space="preserve"> </w:t>
      </w:r>
      <w:r w:rsidRPr="00E27EED">
        <w:rPr>
          <w:rFonts w:ascii="Times New Roman" w:hAnsi="Times New Roman" w:cs="Times New Roman"/>
          <w:sz w:val="24"/>
          <w:lang w:val="en-US"/>
        </w:rPr>
        <w:t>on the Bank’s current risk levels, risk appetite levels, and risk mitigation mechanisms, as necessary.</w:t>
      </w:r>
    </w:p>
    <w:p w:rsidR="006F7FFD" w:rsidRPr="00E27EED" w:rsidRDefault="006F7FFD" w:rsidP="000B0C64">
      <w:pPr>
        <w:pStyle w:val="1"/>
        <w:jc w:val="both"/>
        <w:rPr>
          <w:rStyle w:val="s19"/>
          <w:b/>
          <w:color w:val="auto"/>
          <w:sz w:val="24"/>
          <w:szCs w:val="24"/>
          <w:lang w:val="en-US"/>
        </w:rPr>
      </w:pPr>
      <w:bookmarkStart w:id="2" w:name="_Toc233981983"/>
      <w:r w:rsidRPr="00E27EED">
        <w:rPr>
          <w:rStyle w:val="s19"/>
          <w:b/>
          <w:color w:val="auto"/>
          <w:sz w:val="24"/>
          <w:szCs w:val="24"/>
          <w:lang w:val="en-US"/>
        </w:rPr>
        <w:lastRenderedPageBreak/>
        <w:t>3. Information on Risks Inherent in the Bank’s Activities and Material Risks</w:t>
      </w:r>
      <w:bookmarkEnd w:id="2"/>
    </w:p>
    <w:p w:rsidR="006F7FFD" w:rsidRPr="00E27EED" w:rsidRDefault="006F7FFD" w:rsidP="000B0C64">
      <w:pPr>
        <w:pStyle w:val="pj"/>
        <w:rPr>
          <w:color w:val="auto"/>
          <w:lang w:val="en-US"/>
        </w:rPr>
      </w:pPr>
      <w:r w:rsidRPr="00E27EED">
        <w:rPr>
          <w:color w:val="auto"/>
          <w:lang w:val="en-US"/>
        </w:rPr>
        <w:t>In accordance with the Risk Management Policy, the Bank continuously identifies, measures, monitors, and controls risks at all levels of the Bank’s management. At the same time, the risk management and internal control systems are improved in line with changes in the Bank’s risk profile and in light of changes in the external environment.</w:t>
      </w:r>
    </w:p>
    <w:p w:rsidR="006F7FFD" w:rsidRPr="00E27EED" w:rsidRDefault="006F7FFD" w:rsidP="000B0C64">
      <w:pPr>
        <w:pStyle w:val="pj"/>
        <w:rPr>
          <w:color w:val="auto"/>
          <w:lang w:val="en-US"/>
        </w:rPr>
      </w:pPr>
      <w:r w:rsidRPr="00E27EED">
        <w:rPr>
          <w:color w:val="auto"/>
          <w:lang w:val="en-US"/>
        </w:rPr>
        <w:t>The following list of risks inherent to the Bank has been identified:</w:t>
      </w:r>
    </w:p>
    <w:p w:rsidR="006F7FFD" w:rsidRPr="00E27EED" w:rsidRDefault="006F7FFD" w:rsidP="001C68BB">
      <w:pPr>
        <w:pStyle w:val="pj"/>
        <w:numPr>
          <w:ilvl w:val="0"/>
          <w:numId w:val="21"/>
        </w:numPr>
        <w:rPr>
          <w:color w:val="auto"/>
          <w:lang w:val="en-US"/>
        </w:rPr>
      </w:pPr>
      <w:r w:rsidRPr="00E27EED">
        <w:rPr>
          <w:color w:val="auto"/>
          <w:lang w:val="en-US"/>
        </w:rPr>
        <w:t>Credit Risks</w:t>
      </w:r>
    </w:p>
    <w:p w:rsidR="006F7FFD" w:rsidRPr="00E27EED" w:rsidRDefault="006F7FFD" w:rsidP="001C68BB">
      <w:pPr>
        <w:pStyle w:val="pj"/>
        <w:numPr>
          <w:ilvl w:val="0"/>
          <w:numId w:val="21"/>
        </w:numPr>
        <w:rPr>
          <w:color w:val="auto"/>
          <w:lang w:val="en-US"/>
        </w:rPr>
      </w:pPr>
      <w:r w:rsidRPr="00E27EED">
        <w:rPr>
          <w:color w:val="auto"/>
          <w:lang w:val="en-US"/>
        </w:rPr>
        <w:t>Country (Political) Risk</w:t>
      </w:r>
    </w:p>
    <w:p w:rsidR="006F7FFD" w:rsidRPr="00E27EED" w:rsidRDefault="006F7FFD" w:rsidP="001C68BB">
      <w:pPr>
        <w:pStyle w:val="pj"/>
        <w:numPr>
          <w:ilvl w:val="0"/>
          <w:numId w:val="21"/>
        </w:numPr>
        <w:rPr>
          <w:color w:val="auto"/>
          <w:lang w:val="en-US"/>
        </w:rPr>
      </w:pPr>
      <w:r w:rsidRPr="00E27EED">
        <w:rPr>
          <w:color w:val="auto"/>
          <w:lang w:val="en-US"/>
        </w:rPr>
        <w:t>Market risks</w:t>
      </w:r>
    </w:p>
    <w:p w:rsidR="006F7FFD" w:rsidRPr="00E27EED" w:rsidRDefault="006F7FFD" w:rsidP="001C68BB">
      <w:pPr>
        <w:pStyle w:val="pj"/>
        <w:numPr>
          <w:ilvl w:val="0"/>
          <w:numId w:val="21"/>
        </w:numPr>
        <w:rPr>
          <w:color w:val="auto"/>
          <w:lang w:val="en-US"/>
        </w:rPr>
      </w:pPr>
      <w:r w:rsidRPr="00E27EED">
        <w:rPr>
          <w:color w:val="auto"/>
          <w:lang w:val="en-US"/>
        </w:rPr>
        <w:t>Liquidity risks</w:t>
      </w:r>
    </w:p>
    <w:p w:rsidR="006F7FFD" w:rsidRPr="00E27EED" w:rsidRDefault="006F7FFD" w:rsidP="001C68BB">
      <w:pPr>
        <w:pStyle w:val="pj"/>
        <w:numPr>
          <w:ilvl w:val="0"/>
          <w:numId w:val="21"/>
        </w:numPr>
        <w:rPr>
          <w:color w:val="auto"/>
          <w:lang w:val="en-US"/>
        </w:rPr>
      </w:pPr>
      <w:r w:rsidRPr="00E27EED">
        <w:rPr>
          <w:color w:val="auto"/>
          <w:lang w:val="en-US"/>
        </w:rPr>
        <w:t>Concentration Risk</w:t>
      </w:r>
    </w:p>
    <w:p w:rsidR="006F7FFD" w:rsidRPr="00E27EED" w:rsidRDefault="006F7FFD" w:rsidP="001C68BB">
      <w:pPr>
        <w:pStyle w:val="pj"/>
        <w:numPr>
          <w:ilvl w:val="0"/>
          <w:numId w:val="21"/>
        </w:numPr>
        <w:rPr>
          <w:color w:val="auto"/>
          <w:lang w:val="en-US"/>
        </w:rPr>
      </w:pPr>
      <w:r w:rsidRPr="00E27EED">
        <w:rPr>
          <w:color w:val="auto"/>
          <w:lang w:val="en-US"/>
        </w:rPr>
        <w:t>Real Estate Risk</w:t>
      </w:r>
    </w:p>
    <w:p w:rsidR="006F7FFD" w:rsidRPr="00E27EED" w:rsidRDefault="006F7FFD" w:rsidP="001C68BB">
      <w:pPr>
        <w:pStyle w:val="pj"/>
        <w:numPr>
          <w:ilvl w:val="0"/>
          <w:numId w:val="21"/>
        </w:numPr>
        <w:rPr>
          <w:color w:val="auto"/>
          <w:lang w:val="en-US"/>
        </w:rPr>
      </w:pPr>
      <w:r w:rsidRPr="00E27EED">
        <w:rPr>
          <w:color w:val="auto"/>
          <w:lang w:val="en-US"/>
        </w:rPr>
        <w:t xml:space="preserve">Operational risk </w:t>
      </w:r>
    </w:p>
    <w:p w:rsidR="006F7FFD" w:rsidRPr="00E27EED" w:rsidRDefault="006F7FFD" w:rsidP="001C68BB">
      <w:pPr>
        <w:pStyle w:val="pj"/>
        <w:numPr>
          <w:ilvl w:val="0"/>
          <w:numId w:val="21"/>
        </w:numPr>
        <w:rPr>
          <w:color w:val="auto"/>
          <w:lang w:val="en-US"/>
        </w:rPr>
      </w:pPr>
      <w:r w:rsidRPr="00E27EED">
        <w:rPr>
          <w:color w:val="auto"/>
          <w:lang w:val="en-US"/>
        </w:rPr>
        <w:t>Residual Risk</w:t>
      </w:r>
    </w:p>
    <w:p w:rsidR="006F7FFD" w:rsidRPr="00E27EED" w:rsidRDefault="006F7FFD" w:rsidP="001C68BB">
      <w:pPr>
        <w:pStyle w:val="pj"/>
        <w:numPr>
          <w:ilvl w:val="0"/>
          <w:numId w:val="21"/>
        </w:numPr>
        <w:rPr>
          <w:color w:val="auto"/>
          <w:lang w:val="en-US"/>
        </w:rPr>
      </w:pPr>
      <w:r w:rsidRPr="00E27EED">
        <w:rPr>
          <w:color w:val="auto"/>
          <w:lang w:val="en-US"/>
        </w:rPr>
        <w:t>Regulatory (Compliance) Risk</w:t>
      </w:r>
    </w:p>
    <w:p w:rsidR="006F7FFD" w:rsidRPr="00E27EED" w:rsidRDefault="006F7FFD" w:rsidP="001C68BB">
      <w:pPr>
        <w:pStyle w:val="pj"/>
        <w:numPr>
          <w:ilvl w:val="0"/>
          <w:numId w:val="21"/>
        </w:numPr>
        <w:rPr>
          <w:color w:val="auto"/>
          <w:lang w:val="en-US"/>
        </w:rPr>
      </w:pPr>
      <w:r w:rsidRPr="00E27EED">
        <w:rPr>
          <w:color w:val="auto"/>
          <w:lang w:val="en-US"/>
        </w:rPr>
        <w:t>Reputational risk</w:t>
      </w:r>
    </w:p>
    <w:p w:rsidR="006F7FFD" w:rsidRPr="00E27EED" w:rsidRDefault="006F7FFD" w:rsidP="001C68BB">
      <w:pPr>
        <w:pStyle w:val="pj"/>
        <w:numPr>
          <w:ilvl w:val="0"/>
          <w:numId w:val="21"/>
        </w:numPr>
        <w:rPr>
          <w:color w:val="auto"/>
          <w:lang w:val="en-US"/>
        </w:rPr>
      </w:pPr>
      <w:r w:rsidRPr="00E27EED">
        <w:rPr>
          <w:color w:val="auto"/>
          <w:lang w:val="en-US"/>
        </w:rPr>
        <w:t>Strategic Risk</w:t>
      </w:r>
    </w:p>
    <w:p w:rsidR="00532DF9" w:rsidRPr="00E27EED" w:rsidRDefault="00532DF9" w:rsidP="000B0C64">
      <w:pPr>
        <w:pStyle w:val="pj"/>
        <w:rPr>
          <w:color w:val="auto"/>
          <w:lang w:val="en-US"/>
        </w:rPr>
      </w:pPr>
      <w:r w:rsidRPr="00E27EED">
        <w:rPr>
          <w:color w:val="auto"/>
          <w:lang w:val="en-US"/>
        </w:rPr>
        <w:t xml:space="preserve">The Bank assesses the </w:t>
      </w:r>
      <w:r w:rsidR="00233EAB">
        <w:rPr>
          <w:color w:val="auto"/>
          <w:lang w:val="en-US"/>
        </w:rPr>
        <w:t>materiality</w:t>
      </w:r>
      <w:r w:rsidRPr="00E27EED">
        <w:rPr>
          <w:color w:val="auto"/>
          <w:lang w:val="en-US"/>
        </w:rPr>
        <w:t xml:space="preserve"> of its risks at least once a year. In assessing the </w:t>
      </w:r>
      <w:r w:rsidR="00233EAB">
        <w:rPr>
          <w:color w:val="auto"/>
          <w:lang w:val="en-US"/>
        </w:rPr>
        <w:t>materiality</w:t>
      </w:r>
      <w:r w:rsidR="00233EAB" w:rsidRPr="00E27EED">
        <w:rPr>
          <w:color w:val="auto"/>
          <w:lang w:val="en-US"/>
        </w:rPr>
        <w:t xml:space="preserve"> </w:t>
      </w:r>
      <w:r w:rsidRPr="00E27EED">
        <w:rPr>
          <w:color w:val="auto"/>
          <w:lang w:val="en-US"/>
        </w:rPr>
        <w:t>of risks, the Bank is guided by the following principles:</w:t>
      </w:r>
    </w:p>
    <w:p w:rsidR="00532DF9" w:rsidRPr="00E27EED" w:rsidRDefault="00532DF9" w:rsidP="000B0C64">
      <w:pPr>
        <w:pStyle w:val="pj"/>
        <w:rPr>
          <w:color w:val="auto"/>
          <w:lang w:val="en-US"/>
        </w:rPr>
      </w:pPr>
      <w:r w:rsidRPr="00E27EED">
        <w:rPr>
          <w:color w:val="auto"/>
          <w:lang w:val="en-US"/>
        </w:rPr>
        <w:t>1)</w:t>
      </w:r>
      <w:r w:rsidRPr="00E27EED">
        <w:rPr>
          <w:color w:val="auto"/>
          <w:lang w:val="en-US"/>
        </w:rPr>
        <w:tab/>
      </w:r>
      <w:r w:rsidR="00233EAB">
        <w:rPr>
          <w:color w:val="auto"/>
          <w:lang w:val="en-US"/>
        </w:rPr>
        <w:t>C</w:t>
      </w:r>
      <w:r w:rsidRPr="00E27EED">
        <w:rPr>
          <w:color w:val="auto"/>
          <w:lang w:val="en-US"/>
        </w:rPr>
        <w:t>omprehensive analysis of the Bank’s operations to identify existing and potential risks;</w:t>
      </w:r>
    </w:p>
    <w:p w:rsidR="00532DF9" w:rsidRPr="00E27EED" w:rsidRDefault="00532DF9" w:rsidP="000B0C64">
      <w:pPr>
        <w:pStyle w:val="pj"/>
        <w:rPr>
          <w:color w:val="auto"/>
          <w:lang w:val="en-US"/>
        </w:rPr>
      </w:pPr>
      <w:r w:rsidRPr="00E27EED">
        <w:rPr>
          <w:color w:val="auto"/>
          <w:lang w:val="en-US"/>
        </w:rPr>
        <w:t>2)</w:t>
      </w:r>
      <w:r w:rsidRPr="00E27EED">
        <w:rPr>
          <w:color w:val="auto"/>
          <w:lang w:val="en-US"/>
        </w:rPr>
        <w:tab/>
      </w:r>
      <w:r w:rsidR="00233EAB">
        <w:rPr>
          <w:color w:val="auto"/>
          <w:lang w:val="en-US"/>
        </w:rPr>
        <w:t>U</w:t>
      </w:r>
      <w:r w:rsidRPr="00E27EED">
        <w:rPr>
          <w:color w:val="auto"/>
          <w:lang w:val="en-US"/>
        </w:rPr>
        <w:t>niform approach across all risk categories to determine the extent of their impact on the Bank’s operations;</w:t>
      </w:r>
    </w:p>
    <w:p w:rsidR="00532DF9" w:rsidRPr="00E27EED" w:rsidRDefault="00532DF9" w:rsidP="000B0C64">
      <w:pPr>
        <w:pStyle w:val="pj"/>
        <w:rPr>
          <w:color w:val="auto"/>
          <w:lang w:val="en-US"/>
        </w:rPr>
      </w:pPr>
      <w:r w:rsidRPr="00E27EED">
        <w:rPr>
          <w:color w:val="auto"/>
          <w:lang w:val="en-US"/>
        </w:rPr>
        <w:t>3)</w:t>
      </w:r>
      <w:r w:rsidRPr="00E27EED">
        <w:rPr>
          <w:color w:val="auto"/>
          <w:lang w:val="en-US"/>
        </w:rPr>
        <w:tab/>
      </w:r>
      <w:r w:rsidR="00233EAB">
        <w:rPr>
          <w:color w:val="auto"/>
          <w:lang w:val="en-US"/>
        </w:rPr>
        <w:t>R</w:t>
      </w:r>
      <w:r w:rsidRPr="00E27EED">
        <w:rPr>
          <w:color w:val="auto"/>
          <w:lang w:val="en-US"/>
        </w:rPr>
        <w:t>egular review of the results of risk materiality assessments to ensure they remain up to date.</w:t>
      </w:r>
    </w:p>
    <w:p w:rsidR="00532DF9" w:rsidRPr="00E27EED" w:rsidRDefault="00532DF9" w:rsidP="000B0C64">
      <w:pPr>
        <w:pStyle w:val="pj"/>
        <w:rPr>
          <w:color w:val="auto"/>
          <w:lang w:val="en-US"/>
        </w:rPr>
      </w:pPr>
      <w:r w:rsidRPr="00E27EED">
        <w:rPr>
          <w:color w:val="auto"/>
          <w:lang w:val="en-US"/>
        </w:rPr>
        <w:t>Stages of the risk materiality assessment process:</w:t>
      </w:r>
    </w:p>
    <w:p w:rsidR="00532DF9" w:rsidRPr="00E27EED" w:rsidRDefault="00532DF9" w:rsidP="000B0C64">
      <w:pPr>
        <w:pStyle w:val="pj"/>
        <w:rPr>
          <w:color w:val="auto"/>
          <w:lang w:val="en-US"/>
        </w:rPr>
      </w:pPr>
      <w:r w:rsidRPr="00E27EED">
        <w:rPr>
          <w:color w:val="auto"/>
          <w:lang w:val="en-US"/>
        </w:rPr>
        <w:t>1)</w:t>
      </w:r>
      <w:r w:rsidRPr="00E27EED">
        <w:rPr>
          <w:color w:val="auto"/>
          <w:lang w:val="en-US"/>
        </w:rPr>
        <w:tab/>
        <w:t>Identif</w:t>
      </w:r>
      <w:r w:rsidR="00233EAB">
        <w:rPr>
          <w:color w:val="auto"/>
          <w:lang w:val="en-US"/>
        </w:rPr>
        <w:t xml:space="preserve">ying </w:t>
      </w:r>
      <w:r w:rsidRPr="00E27EED">
        <w:rPr>
          <w:color w:val="auto"/>
          <w:lang w:val="en-US"/>
        </w:rPr>
        <w:t>risks inherent in the Bank’s operations;</w:t>
      </w:r>
    </w:p>
    <w:p w:rsidR="00532DF9" w:rsidRPr="00E27EED" w:rsidRDefault="00532DF9" w:rsidP="000B0C64">
      <w:pPr>
        <w:pStyle w:val="pj"/>
        <w:rPr>
          <w:color w:val="auto"/>
          <w:lang w:val="en-US"/>
        </w:rPr>
      </w:pPr>
      <w:r w:rsidRPr="00E27EED">
        <w:rPr>
          <w:color w:val="auto"/>
          <w:lang w:val="en-US"/>
        </w:rPr>
        <w:t>2)</w:t>
      </w:r>
      <w:r w:rsidRPr="00E27EED">
        <w:rPr>
          <w:color w:val="auto"/>
          <w:lang w:val="en-US"/>
        </w:rPr>
        <w:tab/>
      </w:r>
      <w:r w:rsidR="00233EAB">
        <w:rPr>
          <w:color w:val="auto"/>
          <w:lang w:val="en-US"/>
        </w:rPr>
        <w:t>A</w:t>
      </w:r>
      <w:r w:rsidRPr="00E27EED">
        <w:rPr>
          <w:color w:val="auto"/>
          <w:lang w:val="en-US"/>
        </w:rPr>
        <w:t xml:space="preserve">ssessing the </w:t>
      </w:r>
      <w:r w:rsidR="00233EAB">
        <w:rPr>
          <w:color w:val="auto"/>
          <w:lang w:val="en-US"/>
        </w:rPr>
        <w:t xml:space="preserve">materiality </w:t>
      </w:r>
      <w:r w:rsidRPr="00E27EED">
        <w:rPr>
          <w:color w:val="auto"/>
          <w:lang w:val="en-US"/>
        </w:rPr>
        <w:t xml:space="preserve">of the identified risks; </w:t>
      </w:r>
    </w:p>
    <w:p w:rsidR="00532DF9" w:rsidRPr="00E27EED" w:rsidRDefault="00532DF9" w:rsidP="000B0C64">
      <w:pPr>
        <w:pStyle w:val="pj"/>
        <w:rPr>
          <w:color w:val="auto"/>
          <w:lang w:val="en-US"/>
        </w:rPr>
      </w:pPr>
      <w:r w:rsidRPr="00E27EED">
        <w:rPr>
          <w:color w:val="auto"/>
          <w:lang w:val="en-US"/>
        </w:rPr>
        <w:t>3)</w:t>
      </w:r>
      <w:r w:rsidRPr="00E27EED">
        <w:rPr>
          <w:color w:val="auto"/>
          <w:lang w:val="en-US"/>
        </w:rPr>
        <w:tab/>
      </w:r>
      <w:r w:rsidR="00233EAB">
        <w:rPr>
          <w:color w:val="auto"/>
          <w:lang w:val="en-US"/>
        </w:rPr>
        <w:t>P</w:t>
      </w:r>
      <w:r w:rsidRPr="00E27EED">
        <w:rPr>
          <w:color w:val="auto"/>
          <w:lang w:val="en-US"/>
        </w:rPr>
        <w:t>reparing reports on the identified risks;</w:t>
      </w:r>
    </w:p>
    <w:p w:rsidR="00532DF9" w:rsidRPr="00E27EED" w:rsidRDefault="00532DF9" w:rsidP="000B0C64">
      <w:pPr>
        <w:pStyle w:val="pj"/>
        <w:rPr>
          <w:color w:val="auto"/>
          <w:lang w:val="en-US"/>
        </w:rPr>
      </w:pPr>
      <w:r w:rsidRPr="00E27EED">
        <w:rPr>
          <w:color w:val="auto"/>
          <w:lang w:val="en-US"/>
        </w:rPr>
        <w:t>4)</w:t>
      </w:r>
      <w:r w:rsidRPr="00E27EED">
        <w:rPr>
          <w:color w:val="auto"/>
          <w:lang w:val="en-US"/>
        </w:rPr>
        <w:tab/>
      </w:r>
      <w:r w:rsidR="00233EAB">
        <w:rPr>
          <w:color w:val="auto"/>
          <w:lang w:val="en-US"/>
        </w:rPr>
        <w:t>U</w:t>
      </w:r>
      <w:r w:rsidRPr="00E27EED">
        <w:rPr>
          <w:color w:val="auto"/>
          <w:lang w:val="en-US"/>
        </w:rPr>
        <w:t>pdating the list of risks as new risks are identified.</w:t>
      </w:r>
    </w:p>
    <w:p w:rsidR="00532DF9" w:rsidRPr="00E27EED" w:rsidRDefault="00532DF9" w:rsidP="000B0C64">
      <w:pPr>
        <w:pStyle w:val="pj"/>
        <w:rPr>
          <w:color w:val="auto"/>
          <w:lang w:val="en-US"/>
        </w:rPr>
      </w:pPr>
    </w:p>
    <w:p w:rsidR="006F7FFD" w:rsidRPr="00E27EED" w:rsidRDefault="006F7FFD" w:rsidP="000B0C64">
      <w:pPr>
        <w:pStyle w:val="pj"/>
        <w:rPr>
          <w:color w:val="auto"/>
          <w:lang w:val="en-US"/>
        </w:rPr>
      </w:pPr>
      <w:r w:rsidRPr="00E27EED">
        <w:rPr>
          <w:color w:val="auto"/>
          <w:lang w:val="en-US"/>
        </w:rPr>
        <w:t xml:space="preserve">Based on the results of the risk assessment </w:t>
      </w:r>
      <w:r w:rsidR="0045443A" w:rsidRPr="00E27EED">
        <w:rPr>
          <w:color w:val="auto"/>
          <w:lang w:val="en-US"/>
        </w:rPr>
        <w:t xml:space="preserve">(for 2024), </w:t>
      </w:r>
      <w:r w:rsidRPr="00E27EED">
        <w:rPr>
          <w:color w:val="auto"/>
          <w:lang w:val="en-US"/>
        </w:rPr>
        <w:t xml:space="preserve">the following risks of the Bank were identified as </w:t>
      </w:r>
      <w:r w:rsidR="00233EAB">
        <w:rPr>
          <w:color w:val="auto"/>
          <w:lang w:val="en-US"/>
        </w:rPr>
        <w:t>material</w:t>
      </w:r>
      <w:r w:rsidRPr="00E27EED">
        <w:rPr>
          <w:color w:val="auto"/>
          <w:lang w:val="en-US"/>
        </w:rPr>
        <w:t>:</w:t>
      </w:r>
    </w:p>
    <w:p w:rsidR="00532DF9" w:rsidRPr="00E27EED" w:rsidRDefault="00532DF9" w:rsidP="001C68BB">
      <w:pPr>
        <w:pStyle w:val="pj"/>
        <w:numPr>
          <w:ilvl w:val="0"/>
          <w:numId w:val="22"/>
        </w:numPr>
        <w:rPr>
          <w:color w:val="auto"/>
          <w:lang w:val="en-US"/>
        </w:rPr>
      </w:pPr>
      <w:r w:rsidRPr="00E27EED">
        <w:rPr>
          <w:color w:val="auto"/>
          <w:lang w:val="en-US"/>
        </w:rPr>
        <w:t>Credit Risks</w:t>
      </w:r>
    </w:p>
    <w:p w:rsidR="00532DF9" w:rsidRPr="00E27EED" w:rsidRDefault="00532DF9" w:rsidP="001C68BB">
      <w:pPr>
        <w:pStyle w:val="pj"/>
        <w:numPr>
          <w:ilvl w:val="0"/>
          <w:numId w:val="22"/>
        </w:numPr>
        <w:rPr>
          <w:color w:val="auto"/>
          <w:lang w:val="en-US"/>
        </w:rPr>
      </w:pPr>
      <w:r w:rsidRPr="00E27EED">
        <w:rPr>
          <w:color w:val="auto"/>
          <w:lang w:val="en-US"/>
        </w:rPr>
        <w:t>Market risks</w:t>
      </w:r>
    </w:p>
    <w:p w:rsidR="00532DF9" w:rsidRPr="00E27EED" w:rsidRDefault="00532DF9" w:rsidP="001C68BB">
      <w:pPr>
        <w:pStyle w:val="pj"/>
        <w:numPr>
          <w:ilvl w:val="0"/>
          <w:numId w:val="22"/>
        </w:numPr>
        <w:rPr>
          <w:color w:val="auto"/>
          <w:lang w:val="en-US"/>
        </w:rPr>
      </w:pPr>
      <w:r w:rsidRPr="00E27EED">
        <w:rPr>
          <w:color w:val="auto"/>
          <w:lang w:val="en-US"/>
        </w:rPr>
        <w:t>Liquidity risks</w:t>
      </w:r>
    </w:p>
    <w:p w:rsidR="00532DF9" w:rsidRPr="00E27EED" w:rsidRDefault="00532DF9" w:rsidP="001C68BB">
      <w:pPr>
        <w:pStyle w:val="pj"/>
        <w:numPr>
          <w:ilvl w:val="0"/>
          <w:numId w:val="22"/>
        </w:numPr>
        <w:rPr>
          <w:color w:val="auto"/>
          <w:lang w:val="en-US"/>
        </w:rPr>
      </w:pPr>
      <w:r w:rsidRPr="00E27EED">
        <w:rPr>
          <w:color w:val="auto"/>
          <w:lang w:val="en-US"/>
        </w:rPr>
        <w:t>Concentration risk</w:t>
      </w:r>
    </w:p>
    <w:p w:rsidR="00532DF9" w:rsidRPr="00E27EED" w:rsidRDefault="00532DF9" w:rsidP="001C68BB">
      <w:pPr>
        <w:pStyle w:val="pj"/>
        <w:numPr>
          <w:ilvl w:val="0"/>
          <w:numId w:val="22"/>
        </w:numPr>
        <w:rPr>
          <w:color w:val="auto"/>
          <w:lang w:val="en-US"/>
        </w:rPr>
      </w:pPr>
      <w:r w:rsidRPr="00E27EED">
        <w:rPr>
          <w:color w:val="auto"/>
          <w:lang w:val="en-US"/>
        </w:rPr>
        <w:t xml:space="preserve">Operational risk </w:t>
      </w:r>
    </w:p>
    <w:p w:rsidR="00532DF9" w:rsidRPr="00E27EED" w:rsidRDefault="00532DF9" w:rsidP="001C68BB">
      <w:pPr>
        <w:pStyle w:val="pj"/>
        <w:numPr>
          <w:ilvl w:val="0"/>
          <w:numId w:val="22"/>
        </w:numPr>
        <w:rPr>
          <w:color w:val="auto"/>
          <w:lang w:val="en-US"/>
        </w:rPr>
      </w:pPr>
      <w:r w:rsidRPr="00E27EED">
        <w:rPr>
          <w:color w:val="auto"/>
          <w:lang w:val="en-US"/>
        </w:rPr>
        <w:t>Reputational Risk</w:t>
      </w:r>
    </w:p>
    <w:p w:rsidR="0045443A" w:rsidRPr="00E27EED" w:rsidRDefault="0045443A" w:rsidP="000B0C64">
      <w:pPr>
        <w:pStyle w:val="1"/>
        <w:jc w:val="both"/>
        <w:rPr>
          <w:rStyle w:val="s19"/>
          <w:b/>
          <w:color w:val="auto"/>
          <w:sz w:val="24"/>
          <w:lang w:val="en-US"/>
        </w:rPr>
      </w:pPr>
      <w:bookmarkStart w:id="3" w:name="_Toc198046463"/>
      <w:bookmarkStart w:id="4" w:name="_Toc233981984"/>
      <w:r w:rsidRPr="00E27EED">
        <w:rPr>
          <w:rStyle w:val="s19"/>
          <w:b/>
          <w:color w:val="auto"/>
          <w:sz w:val="24"/>
          <w:lang w:val="en-US"/>
        </w:rPr>
        <w:t>4. Procedure for Determining the Bank’s Risk Appetite</w:t>
      </w:r>
      <w:bookmarkEnd w:id="3"/>
      <w:bookmarkEnd w:id="4"/>
    </w:p>
    <w:p w:rsidR="0045443A" w:rsidRPr="00E27EED" w:rsidRDefault="0045443A" w:rsidP="000B0C64">
      <w:pPr>
        <w:pStyle w:val="pj"/>
        <w:rPr>
          <w:rStyle w:val="s0"/>
          <w:lang w:val="en-US"/>
        </w:rPr>
      </w:pPr>
      <w:r w:rsidRPr="00E27EED">
        <w:rPr>
          <w:rStyle w:val="s0"/>
          <w:lang w:val="en-US"/>
        </w:rPr>
        <w:t>The Bank’s risk appetite management system is governed by the Methodology for Determining and Calculating Acceptable Risk Levels.</w:t>
      </w:r>
    </w:p>
    <w:p w:rsidR="0045443A" w:rsidRPr="00E27EED" w:rsidRDefault="0045443A" w:rsidP="000B0C64">
      <w:pPr>
        <w:pStyle w:val="pj"/>
        <w:rPr>
          <w:rStyle w:val="s0"/>
          <w:lang w:val="en-US"/>
        </w:rPr>
      </w:pPr>
      <w:r w:rsidRPr="00E27EED">
        <w:rPr>
          <w:rStyle w:val="s0"/>
          <w:lang w:val="en-US"/>
        </w:rPr>
        <w:t xml:space="preserve">The Methodology defines a system of indicators for the Bank’s acceptable risk levels, including relevant quantitative indicators from VTB Group’s risk appetite </w:t>
      </w:r>
      <w:r w:rsidR="00751C4F">
        <w:rPr>
          <w:rStyle w:val="s0"/>
          <w:lang w:val="en-US"/>
        </w:rPr>
        <w:t>system</w:t>
      </w:r>
      <w:r w:rsidRPr="00E27EED">
        <w:rPr>
          <w:rStyle w:val="s0"/>
          <w:lang w:val="en-US"/>
        </w:rPr>
        <w:t>, the principles for calculating the target values of these indicators and the procedure for monitoring them, the departments responsible for calculating the indicators, as well as the timing and procedure for calculating, controlling, and monitoring acceptable risk levels.</w:t>
      </w:r>
    </w:p>
    <w:p w:rsidR="0045443A" w:rsidRPr="00E27EED" w:rsidRDefault="0045443A" w:rsidP="000B0C64">
      <w:pPr>
        <w:pStyle w:val="pj"/>
        <w:rPr>
          <w:rStyle w:val="s0"/>
          <w:lang w:val="en-US"/>
        </w:rPr>
      </w:pPr>
      <w:r w:rsidRPr="00E27EED">
        <w:rPr>
          <w:rStyle w:val="s0"/>
          <w:lang w:val="en-US"/>
        </w:rPr>
        <w:t>Acceptable risk level/risk appetite</w:t>
      </w:r>
      <w:r w:rsidR="00751C4F">
        <w:rPr>
          <w:rStyle w:val="s0"/>
          <w:lang w:val="en-US"/>
        </w:rPr>
        <w:t xml:space="preserve"> is </w:t>
      </w:r>
      <w:r w:rsidRPr="00E27EED">
        <w:rPr>
          <w:rStyle w:val="s0"/>
          <w:lang w:val="en-US"/>
        </w:rPr>
        <w:t>the level (</w:t>
      </w:r>
      <w:r w:rsidR="00751C4F">
        <w:rPr>
          <w:rStyle w:val="s0"/>
          <w:lang w:val="en-US"/>
        </w:rPr>
        <w:t>amount</w:t>
      </w:r>
      <w:r w:rsidRPr="00E27EED">
        <w:rPr>
          <w:rStyle w:val="s0"/>
          <w:lang w:val="en-US"/>
        </w:rPr>
        <w:t>) of risk that the Bank determines to be acceptable (</w:t>
      </w:r>
      <w:r w:rsidR="00751C4F">
        <w:rPr>
          <w:rStyle w:val="s0"/>
          <w:lang w:val="en-US"/>
        </w:rPr>
        <w:t>accept</w:t>
      </w:r>
      <w:r w:rsidRPr="00E27EED">
        <w:rPr>
          <w:rStyle w:val="s0"/>
          <w:lang w:val="en-US"/>
        </w:rPr>
        <w:t>able, safe) for ensuring its financial soundness and long-term viability, based on its strategy, the nature, scale, and complexity of its activities, as well as its financial position.</w:t>
      </w:r>
    </w:p>
    <w:p w:rsidR="0045443A" w:rsidRPr="00E27EED" w:rsidRDefault="0045443A" w:rsidP="000B0C64">
      <w:pPr>
        <w:pStyle w:val="pj"/>
        <w:rPr>
          <w:rStyle w:val="s0"/>
          <w:lang w:val="en-US"/>
        </w:rPr>
      </w:pPr>
      <w:r w:rsidRPr="00E27EED">
        <w:rPr>
          <w:rStyle w:val="s0"/>
          <w:lang w:val="en-US"/>
        </w:rPr>
        <w:t>The implementation of</w:t>
      </w:r>
      <w:r w:rsidR="00751C4F">
        <w:rPr>
          <w:rStyle w:val="s0"/>
          <w:lang w:val="en-US"/>
        </w:rPr>
        <w:t xml:space="preserve"> the</w:t>
      </w:r>
      <w:r w:rsidRPr="00E27EED">
        <w:rPr>
          <w:rStyle w:val="s0"/>
          <w:lang w:val="en-US"/>
        </w:rPr>
        <w:t xml:space="preserve"> risk appetite is aimed at achieving the following objectives:</w:t>
      </w:r>
    </w:p>
    <w:p w:rsidR="0045443A" w:rsidRPr="00E27EED" w:rsidRDefault="0045443A" w:rsidP="000B0C64">
      <w:pPr>
        <w:pStyle w:val="pj"/>
        <w:rPr>
          <w:rStyle w:val="s0"/>
          <w:lang w:val="en-US"/>
        </w:rPr>
      </w:pPr>
      <w:r w:rsidRPr="00E27EED">
        <w:rPr>
          <w:rStyle w:val="s0"/>
          <w:lang w:val="en-US"/>
        </w:rPr>
        <w:lastRenderedPageBreak/>
        <w:t>1)</w:t>
      </w:r>
      <w:r w:rsidRPr="00E27EED">
        <w:rPr>
          <w:rStyle w:val="s0"/>
          <w:lang w:val="en-US"/>
        </w:rPr>
        <w:tab/>
      </w:r>
      <w:r w:rsidR="00751C4F">
        <w:rPr>
          <w:rStyle w:val="s0"/>
          <w:lang w:val="en-US"/>
        </w:rPr>
        <w:t>D</w:t>
      </w:r>
      <w:r w:rsidRPr="00E27EED">
        <w:rPr>
          <w:rStyle w:val="s0"/>
          <w:lang w:val="en-US"/>
        </w:rPr>
        <w:t>efining and monitoring the Bank’s target risk level, taking into account its strategic objectives;</w:t>
      </w:r>
    </w:p>
    <w:p w:rsidR="0045443A" w:rsidRPr="00E27EED" w:rsidRDefault="0045443A" w:rsidP="000B0C64">
      <w:pPr>
        <w:pStyle w:val="pj"/>
        <w:rPr>
          <w:rStyle w:val="s0"/>
          <w:lang w:val="en-US"/>
        </w:rPr>
      </w:pPr>
      <w:r w:rsidRPr="00E27EED">
        <w:rPr>
          <w:rStyle w:val="s0"/>
          <w:lang w:val="en-US"/>
        </w:rPr>
        <w:t>2)</w:t>
      </w:r>
      <w:r w:rsidRPr="00E27EED">
        <w:rPr>
          <w:rStyle w:val="s0"/>
          <w:lang w:val="en-US"/>
        </w:rPr>
        <w:tab/>
      </w:r>
      <w:r w:rsidR="00751C4F">
        <w:rPr>
          <w:rStyle w:val="s0"/>
          <w:lang w:val="en-US"/>
        </w:rPr>
        <w:t>I</w:t>
      </w:r>
      <w:r w:rsidRPr="00E27EED">
        <w:rPr>
          <w:rStyle w:val="s0"/>
          <w:lang w:val="en-US"/>
        </w:rPr>
        <w:t xml:space="preserve">ntegrating strategic objectives into risk management procedures, including at the operational level;  </w:t>
      </w:r>
    </w:p>
    <w:p w:rsidR="0045443A" w:rsidRPr="00E27EED" w:rsidRDefault="0045443A" w:rsidP="000B0C64">
      <w:pPr>
        <w:pStyle w:val="pj"/>
        <w:rPr>
          <w:rStyle w:val="s0"/>
          <w:lang w:val="en-US"/>
        </w:rPr>
      </w:pPr>
      <w:r w:rsidRPr="00E27EED">
        <w:rPr>
          <w:rStyle w:val="s0"/>
          <w:lang w:val="en-US"/>
        </w:rPr>
        <w:t>3)</w:t>
      </w:r>
      <w:r w:rsidRPr="00E27EED">
        <w:rPr>
          <w:rStyle w:val="s0"/>
          <w:lang w:val="en-US"/>
        </w:rPr>
        <w:tab/>
      </w:r>
      <w:r w:rsidR="00751C4F">
        <w:rPr>
          <w:rStyle w:val="s0"/>
          <w:lang w:val="en-US"/>
        </w:rPr>
        <w:t>I</w:t>
      </w:r>
      <w:r w:rsidRPr="00E27EED">
        <w:rPr>
          <w:rStyle w:val="s0"/>
          <w:lang w:val="en-US"/>
        </w:rPr>
        <w:t>mproving the effectiveness of the risk management system.</w:t>
      </w:r>
    </w:p>
    <w:p w:rsidR="0045443A" w:rsidRPr="00E27EED" w:rsidRDefault="0045443A" w:rsidP="000B0C64">
      <w:pPr>
        <w:pStyle w:val="pj"/>
        <w:rPr>
          <w:rStyle w:val="s0"/>
          <w:lang w:val="en-US"/>
        </w:rPr>
      </w:pPr>
      <w:r w:rsidRPr="00E27EED">
        <w:rPr>
          <w:rStyle w:val="s0"/>
          <w:lang w:val="en-US"/>
        </w:rPr>
        <w:t xml:space="preserve">When determining the Bank’s acceptable risk level, the Bank’s Management Board takes into account all risks inherent to the Bank, including operational risks recorded in the accounts for contingent and potential claims and liabilities. </w:t>
      </w:r>
    </w:p>
    <w:p w:rsidR="0045443A" w:rsidRPr="00E27EED" w:rsidRDefault="0045443A" w:rsidP="000B0C64">
      <w:pPr>
        <w:pStyle w:val="pj"/>
        <w:rPr>
          <w:rStyle w:val="s0"/>
          <w:lang w:val="en-US"/>
        </w:rPr>
      </w:pPr>
      <w:r w:rsidRPr="00E27EED">
        <w:rPr>
          <w:rStyle w:val="s0"/>
          <w:lang w:val="en-US"/>
        </w:rPr>
        <w:t xml:space="preserve">Following the determination (calculation) of the Bank’s acceptable risk level, the Bank’s Management Board assesses whether the Bank’s acceptable risk level is consistent with the size, nature, and complexity of the Bank’s business by reviewing the results of the assessment of the financial and non-financial consequences of all risks inherent to the Bank, including through the use of: </w:t>
      </w:r>
    </w:p>
    <w:p w:rsidR="0045443A" w:rsidRPr="00E27EED" w:rsidRDefault="0045443A" w:rsidP="000B0C64">
      <w:pPr>
        <w:pStyle w:val="pj"/>
        <w:rPr>
          <w:rStyle w:val="s0"/>
          <w:lang w:val="en-US"/>
        </w:rPr>
      </w:pPr>
      <w:r w:rsidRPr="00E27EED">
        <w:rPr>
          <w:rStyle w:val="s0"/>
          <w:lang w:val="en-US"/>
        </w:rPr>
        <w:t>1)</w:t>
      </w:r>
      <w:r w:rsidRPr="00E27EED">
        <w:rPr>
          <w:rStyle w:val="s0"/>
          <w:lang w:val="en-US"/>
        </w:rPr>
        <w:tab/>
      </w:r>
      <w:r w:rsidR="00751C4F">
        <w:rPr>
          <w:rStyle w:val="s0"/>
          <w:lang w:val="en-US"/>
        </w:rPr>
        <w:t>T</w:t>
      </w:r>
      <w:r w:rsidRPr="00E27EED">
        <w:rPr>
          <w:rStyle w:val="s0"/>
          <w:lang w:val="en-US"/>
        </w:rPr>
        <w:t xml:space="preserve">he results of quantitative and qualitative analysis; </w:t>
      </w:r>
    </w:p>
    <w:p w:rsidR="0045443A" w:rsidRPr="00E27EED" w:rsidRDefault="0045443A" w:rsidP="000B0C64">
      <w:pPr>
        <w:pStyle w:val="pj"/>
        <w:rPr>
          <w:rStyle w:val="s0"/>
          <w:lang w:val="en-US"/>
        </w:rPr>
      </w:pPr>
      <w:r w:rsidRPr="00E27EED">
        <w:rPr>
          <w:rStyle w:val="s0"/>
          <w:lang w:val="en-US"/>
        </w:rPr>
        <w:t>2)</w:t>
      </w:r>
      <w:r w:rsidRPr="00E27EED">
        <w:rPr>
          <w:rStyle w:val="s0"/>
          <w:lang w:val="en-US"/>
        </w:rPr>
        <w:tab/>
      </w:r>
      <w:r w:rsidR="00751C4F">
        <w:rPr>
          <w:rStyle w:val="s0"/>
          <w:lang w:val="en-US"/>
        </w:rPr>
        <w:t>S</w:t>
      </w:r>
      <w:r w:rsidRPr="00E27EED">
        <w:rPr>
          <w:rStyle w:val="s0"/>
          <w:lang w:val="en-US"/>
        </w:rPr>
        <w:t xml:space="preserve">ensitivity analysis and stress testing; </w:t>
      </w:r>
    </w:p>
    <w:p w:rsidR="0045443A" w:rsidRPr="00E27EED" w:rsidRDefault="0045443A" w:rsidP="000B0C64">
      <w:pPr>
        <w:pStyle w:val="pj"/>
        <w:rPr>
          <w:rStyle w:val="s0"/>
          <w:lang w:val="en-US"/>
        </w:rPr>
      </w:pPr>
      <w:r w:rsidRPr="00E27EED">
        <w:rPr>
          <w:rStyle w:val="s0"/>
          <w:lang w:val="en-US"/>
        </w:rPr>
        <w:t>3)</w:t>
      </w:r>
      <w:r w:rsidRPr="00E27EED">
        <w:rPr>
          <w:rStyle w:val="s0"/>
          <w:lang w:val="en-US"/>
        </w:rPr>
        <w:tab/>
      </w:r>
      <w:r w:rsidR="00751C4F">
        <w:rPr>
          <w:rStyle w:val="s0"/>
          <w:lang w:val="en-US"/>
        </w:rPr>
        <w:t>Study</w:t>
      </w:r>
      <w:r w:rsidRPr="00E27EED">
        <w:rPr>
          <w:rStyle w:val="s0"/>
          <w:lang w:val="en-US"/>
        </w:rPr>
        <w:t xml:space="preserve"> of historical experience; </w:t>
      </w:r>
    </w:p>
    <w:p w:rsidR="0045443A" w:rsidRPr="00E27EED" w:rsidRDefault="0045443A" w:rsidP="000B0C64">
      <w:pPr>
        <w:pStyle w:val="pj"/>
        <w:rPr>
          <w:rStyle w:val="s0"/>
          <w:lang w:val="en-US"/>
        </w:rPr>
      </w:pPr>
      <w:r w:rsidRPr="00E27EED">
        <w:rPr>
          <w:rStyle w:val="s0"/>
          <w:lang w:val="en-US"/>
        </w:rPr>
        <w:t>4)</w:t>
      </w:r>
      <w:r w:rsidRPr="00E27EED">
        <w:rPr>
          <w:rStyle w:val="s0"/>
          <w:lang w:val="en-US"/>
        </w:rPr>
        <w:tab/>
      </w:r>
      <w:r w:rsidR="00751C4F">
        <w:rPr>
          <w:rStyle w:val="s0"/>
          <w:lang w:val="en-US"/>
        </w:rPr>
        <w:t>S</w:t>
      </w:r>
      <w:r w:rsidRPr="00E27EED">
        <w:rPr>
          <w:rStyle w:val="s0"/>
          <w:lang w:val="en-US"/>
        </w:rPr>
        <w:t xml:space="preserve">etting individual limits for specific types of risk to subsequently determine the upper limit of the aggregate risk level that the Bank is </w:t>
      </w:r>
      <w:r w:rsidR="00751C4F">
        <w:rPr>
          <w:rStyle w:val="s0"/>
          <w:lang w:val="en-US"/>
        </w:rPr>
        <w:t xml:space="preserve">ready </w:t>
      </w:r>
      <w:r w:rsidRPr="00E27EED">
        <w:rPr>
          <w:rStyle w:val="s0"/>
          <w:lang w:val="en-US"/>
        </w:rPr>
        <w:t xml:space="preserve">to accept. </w:t>
      </w:r>
    </w:p>
    <w:p w:rsidR="0045443A" w:rsidRPr="00E27EED" w:rsidRDefault="0045443A" w:rsidP="000B0C64">
      <w:pPr>
        <w:pStyle w:val="pj"/>
        <w:rPr>
          <w:rStyle w:val="s0"/>
          <w:lang w:val="en-US"/>
        </w:rPr>
      </w:pPr>
      <w:r w:rsidRPr="00E27EED">
        <w:rPr>
          <w:rStyle w:val="s0"/>
          <w:lang w:val="en-US"/>
        </w:rPr>
        <w:t xml:space="preserve">The Bank’s Management Board ensures the preparation of a report containing: </w:t>
      </w:r>
    </w:p>
    <w:p w:rsidR="0045443A" w:rsidRPr="00E27EED" w:rsidRDefault="0045443A" w:rsidP="000B0C64">
      <w:pPr>
        <w:pStyle w:val="pj"/>
        <w:rPr>
          <w:rStyle w:val="s0"/>
          <w:lang w:val="en-US"/>
        </w:rPr>
      </w:pPr>
      <w:r w:rsidRPr="00E27EED">
        <w:rPr>
          <w:rStyle w:val="s0"/>
          <w:lang w:val="en-US"/>
        </w:rPr>
        <w:t>1)</w:t>
      </w:r>
      <w:r w:rsidRPr="00E27EED">
        <w:rPr>
          <w:rStyle w:val="s0"/>
          <w:lang w:val="en-US"/>
        </w:rPr>
        <w:tab/>
      </w:r>
      <w:r w:rsidR="00751C4F">
        <w:rPr>
          <w:rStyle w:val="s0"/>
          <w:lang w:val="en-US"/>
        </w:rPr>
        <w:t>T</w:t>
      </w:r>
      <w:r w:rsidRPr="00E27EED">
        <w:rPr>
          <w:rStyle w:val="s0"/>
          <w:lang w:val="en-US"/>
        </w:rPr>
        <w:t xml:space="preserve">he results of calculating and determining acceptable risk levels and comparing them with the Bank’s current risk levels; </w:t>
      </w:r>
    </w:p>
    <w:p w:rsidR="0045443A" w:rsidRPr="00E27EED" w:rsidRDefault="0045443A" w:rsidP="000B0C64">
      <w:pPr>
        <w:pStyle w:val="pj"/>
        <w:rPr>
          <w:rStyle w:val="s0"/>
          <w:lang w:val="en-US"/>
        </w:rPr>
      </w:pPr>
      <w:r w:rsidRPr="00E27EED">
        <w:rPr>
          <w:rStyle w:val="s0"/>
          <w:lang w:val="en-US"/>
        </w:rPr>
        <w:t>2)</w:t>
      </w:r>
      <w:r w:rsidRPr="00E27EED">
        <w:rPr>
          <w:rStyle w:val="s0"/>
          <w:lang w:val="en-US"/>
        </w:rPr>
        <w:tab/>
      </w:r>
      <w:r w:rsidR="00751C4F">
        <w:rPr>
          <w:rStyle w:val="s0"/>
          <w:lang w:val="en-US"/>
        </w:rPr>
        <w:t>T</w:t>
      </w:r>
      <w:r w:rsidRPr="00E27EED">
        <w:rPr>
          <w:rStyle w:val="s0"/>
          <w:lang w:val="en-US"/>
        </w:rPr>
        <w:t xml:space="preserve">he level of capital that the Bank must maintain in the event of losses, depending on the magnitude of the risks; </w:t>
      </w:r>
    </w:p>
    <w:p w:rsidR="0045443A" w:rsidRPr="00E27EED" w:rsidRDefault="0045443A" w:rsidP="000B0C64">
      <w:pPr>
        <w:pStyle w:val="pj"/>
        <w:rPr>
          <w:rStyle w:val="s0"/>
          <w:lang w:val="en-US"/>
        </w:rPr>
      </w:pPr>
      <w:r w:rsidRPr="00E27EED">
        <w:rPr>
          <w:rStyle w:val="s0"/>
          <w:lang w:val="en-US"/>
        </w:rPr>
        <w:t>3)</w:t>
      </w:r>
      <w:r w:rsidRPr="00E27EED">
        <w:rPr>
          <w:rStyle w:val="s0"/>
          <w:lang w:val="en-US"/>
        </w:rPr>
        <w:tab/>
      </w:r>
      <w:r w:rsidR="00751C4F">
        <w:rPr>
          <w:rStyle w:val="s0"/>
          <w:lang w:val="en-US"/>
        </w:rPr>
        <w:t>P</w:t>
      </w:r>
      <w:r w:rsidRPr="00E27EED">
        <w:rPr>
          <w:rStyle w:val="s0"/>
          <w:lang w:val="en-US"/>
        </w:rPr>
        <w:t xml:space="preserve">lanned actions that the Bank’s management may take to restore capital in the event of losses; </w:t>
      </w:r>
    </w:p>
    <w:p w:rsidR="0045443A" w:rsidRPr="00E27EED" w:rsidRDefault="0045443A" w:rsidP="000B0C64">
      <w:pPr>
        <w:pStyle w:val="pj"/>
        <w:rPr>
          <w:rStyle w:val="s0"/>
          <w:lang w:val="en-US"/>
        </w:rPr>
      </w:pPr>
      <w:r w:rsidRPr="00E27EED">
        <w:rPr>
          <w:rStyle w:val="s0"/>
          <w:lang w:val="en-US"/>
        </w:rPr>
        <w:t>4)</w:t>
      </w:r>
      <w:r w:rsidRPr="00E27EED">
        <w:rPr>
          <w:rStyle w:val="s0"/>
          <w:lang w:val="en-US"/>
        </w:rPr>
        <w:tab/>
      </w:r>
      <w:r w:rsidR="00751C4F">
        <w:rPr>
          <w:rStyle w:val="s0"/>
          <w:lang w:val="en-US"/>
        </w:rPr>
        <w:t>T</w:t>
      </w:r>
      <w:r w:rsidRPr="00E27EED">
        <w:rPr>
          <w:rStyle w:val="s0"/>
          <w:lang w:val="en-US"/>
        </w:rPr>
        <w:t>he results of the assessment of the acceptable level of risk in terms of its alignment with the size, nature, and complexity of the Bank’s business.</w:t>
      </w:r>
    </w:p>
    <w:p w:rsidR="0045443A" w:rsidRPr="00E27EED" w:rsidRDefault="0045443A" w:rsidP="000B0C64">
      <w:pPr>
        <w:pStyle w:val="pj"/>
        <w:rPr>
          <w:rStyle w:val="s0"/>
          <w:lang w:val="en-US"/>
        </w:rPr>
      </w:pPr>
      <w:r w:rsidRPr="00E27EED">
        <w:rPr>
          <w:rStyle w:val="s0"/>
          <w:lang w:val="en-US"/>
        </w:rPr>
        <w:t>The Bank’s Management Board submits the report to the Bank’s Risk Management Committee for review and subsequent approval by the Bank’s Board of Directors.</w:t>
      </w:r>
    </w:p>
    <w:p w:rsidR="0045443A" w:rsidRPr="00E27EED" w:rsidRDefault="0045443A" w:rsidP="000B0C64">
      <w:pPr>
        <w:pStyle w:val="pj"/>
        <w:rPr>
          <w:rStyle w:val="s0"/>
          <w:lang w:val="en-US"/>
        </w:rPr>
      </w:pPr>
      <w:r w:rsidRPr="00E27EED">
        <w:rPr>
          <w:rStyle w:val="s0"/>
          <w:lang w:val="en-US"/>
        </w:rPr>
        <w:t xml:space="preserve">Risk appetite indicators are calculated and monitored by the relevant units of the Risk Management Department. Monitoring of risk appetite indicators is included in the </w:t>
      </w:r>
      <w:r w:rsidR="00751C4F">
        <w:rPr>
          <w:rStyle w:val="s0"/>
          <w:lang w:val="en-US"/>
        </w:rPr>
        <w:t>M</w:t>
      </w:r>
      <w:r w:rsidR="00751C4F" w:rsidRPr="00E27EED">
        <w:rPr>
          <w:rStyle w:val="s0"/>
          <w:lang w:val="en-US"/>
        </w:rPr>
        <w:t xml:space="preserve">anagement </w:t>
      </w:r>
      <w:r w:rsidR="00751C4F">
        <w:rPr>
          <w:rStyle w:val="s0"/>
          <w:lang w:val="en-US"/>
        </w:rPr>
        <w:t>R</w:t>
      </w:r>
      <w:r w:rsidR="00751C4F" w:rsidRPr="00E27EED">
        <w:rPr>
          <w:rStyle w:val="s0"/>
          <w:lang w:val="en-US"/>
        </w:rPr>
        <w:t xml:space="preserve">eporting </w:t>
      </w:r>
      <w:r w:rsidR="00751C4F">
        <w:rPr>
          <w:rStyle w:val="s0"/>
          <w:lang w:val="en-US"/>
        </w:rPr>
        <w:t xml:space="preserve">for the </w:t>
      </w:r>
      <w:r w:rsidRPr="00E27EED">
        <w:rPr>
          <w:rStyle w:val="s0"/>
          <w:lang w:val="en-US"/>
        </w:rPr>
        <w:t>risk</w:t>
      </w:r>
      <w:r w:rsidR="00751C4F">
        <w:rPr>
          <w:rStyle w:val="s0"/>
          <w:lang w:val="en-US"/>
        </w:rPr>
        <w:t xml:space="preserve"> function</w:t>
      </w:r>
      <w:r w:rsidRPr="00E27EED">
        <w:rPr>
          <w:rStyle w:val="s0"/>
          <w:lang w:val="en-US"/>
        </w:rPr>
        <w:t xml:space="preserve">. Information on any breaches of these indicators, if any, is included in the </w:t>
      </w:r>
      <w:r w:rsidR="00751C4F">
        <w:rPr>
          <w:rStyle w:val="s0"/>
          <w:lang w:val="en-US"/>
        </w:rPr>
        <w:t>M</w:t>
      </w:r>
      <w:r w:rsidR="00751C4F" w:rsidRPr="00E27EED">
        <w:rPr>
          <w:rStyle w:val="s0"/>
          <w:lang w:val="en-US"/>
        </w:rPr>
        <w:t xml:space="preserve">anagement </w:t>
      </w:r>
      <w:r w:rsidR="00751C4F">
        <w:rPr>
          <w:rStyle w:val="s0"/>
          <w:lang w:val="en-US"/>
        </w:rPr>
        <w:t>R</w:t>
      </w:r>
      <w:r w:rsidR="00751C4F" w:rsidRPr="00E27EED">
        <w:rPr>
          <w:rStyle w:val="s0"/>
          <w:lang w:val="en-US"/>
        </w:rPr>
        <w:t xml:space="preserve">eporting </w:t>
      </w:r>
      <w:r w:rsidR="00751C4F">
        <w:rPr>
          <w:rStyle w:val="s0"/>
          <w:lang w:val="en-US"/>
        </w:rPr>
        <w:t xml:space="preserve">for the </w:t>
      </w:r>
      <w:r w:rsidR="00751C4F" w:rsidRPr="00E27EED">
        <w:rPr>
          <w:rStyle w:val="s0"/>
          <w:lang w:val="en-US"/>
        </w:rPr>
        <w:t>risk</w:t>
      </w:r>
      <w:r w:rsidR="00751C4F">
        <w:rPr>
          <w:rStyle w:val="s0"/>
          <w:lang w:val="en-US"/>
        </w:rPr>
        <w:t xml:space="preserve"> function</w:t>
      </w:r>
      <w:r w:rsidRPr="00E27EED">
        <w:rPr>
          <w:rStyle w:val="s0"/>
          <w:lang w:val="en-US"/>
        </w:rPr>
        <w:t>; measures to mitigate risk are developed and/or a decision is made to accept the risk and increase the control limits.</w:t>
      </w:r>
    </w:p>
    <w:p w:rsidR="0045443A" w:rsidRPr="00E27EED" w:rsidRDefault="0045443A" w:rsidP="000B0C64">
      <w:pPr>
        <w:pStyle w:val="pj"/>
        <w:rPr>
          <w:rStyle w:val="s0"/>
          <w:lang w:val="en-US"/>
        </w:rPr>
      </w:pPr>
      <w:r w:rsidRPr="00E27EED">
        <w:rPr>
          <w:rStyle w:val="s0"/>
          <w:lang w:val="en-US"/>
        </w:rPr>
        <w:t>Proposals for control limits are prepared by the Bank’s Risk Department. Control limits are reviewed regularly (at least once a year) and as needed (in the event of changes in regulatory requirements, economic conditions, methodology, or other factors).</w:t>
      </w:r>
    </w:p>
    <w:p w:rsidR="0045443A" w:rsidRPr="00E27EED" w:rsidRDefault="0045443A" w:rsidP="000B0C64">
      <w:pPr>
        <w:spacing w:after="0" w:line="240" w:lineRule="auto"/>
        <w:ind w:firstLine="426"/>
        <w:jc w:val="both"/>
        <w:rPr>
          <w:rStyle w:val="s0"/>
          <w:sz w:val="24"/>
          <w:szCs w:val="24"/>
          <w:lang w:val="en-US"/>
        </w:rPr>
      </w:pPr>
      <w:r w:rsidRPr="00E27EED">
        <w:rPr>
          <w:rStyle w:val="s0"/>
          <w:sz w:val="24"/>
          <w:szCs w:val="24"/>
          <w:lang w:val="en-US"/>
        </w:rPr>
        <w:t xml:space="preserve">Acceptable risk levels may be revised in the event of changes to the Bank’s Strategy or the VTB Group’s Strategy, as well as in the event of changes in internal or external conditions in financial markets, changes in economic conditions, and </w:t>
      </w:r>
      <w:r w:rsidR="00751C4F">
        <w:rPr>
          <w:rStyle w:val="s0"/>
          <w:sz w:val="24"/>
          <w:szCs w:val="24"/>
          <w:lang w:val="en-US"/>
        </w:rPr>
        <w:t>amendments to</w:t>
      </w:r>
      <w:r w:rsidRPr="00E27EED">
        <w:rPr>
          <w:rStyle w:val="s0"/>
          <w:sz w:val="24"/>
          <w:szCs w:val="24"/>
          <w:lang w:val="en-US"/>
        </w:rPr>
        <w:t xml:space="preserve"> the legislation of the Republic of Kazakhstan. Within the framework of acceptable risk levels, internal limits on risk indicators may be established.  </w:t>
      </w:r>
    </w:p>
    <w:p w:rsidR="0045443A" w:rsidRPr="00E27EED" w:rsidRDefault="0045443A" w:rsidP="000B0C64">
      <w:pPr>
        <w:pStyle w:val="1"/>
        <w:jc w:val="both"/>
        <w:rPr>
          <w:rStyle w:val="s19"/>
          <w:b/>
          <w:color w:val="auto"/>
          <w:sz w:val="24"/>
          <w:lang w:val="en-US"/>
        </w:rPr>
      </w:pPr>
      <w:bookmarkStart w:id="5" w:name="_Toc198046464"/>
      <w:bookmarkStart w:id="6" w:name="_Toc233981985"/>
      <w:r w:rsidRPr="00E27EED">
        <w:rPr>
          <w:rStyle w:val="s19"/>
          <w:b/>
          <w:color w:val="auto"/>
          <w:sz w:val="24"/>
          <w:lang w:val="en-US"/>
        </w:rPr>
        <w:t>5. Procedure for Conducting Risk Assessments as Part of Capital Adequacy Assessments</w:t>
      </w:r>
      <w:bookmarkEnd w:id="5"/>
      <w:bookmarkEnd w:id="6"/>
    </w:p>
    <w:p w:rsidR="00C23FD3" w:rsidRPr="00E27EED" w:rsidRDefault="00C23FD3" w:rsidP="000B0C64">
      <w:pPr>
        <w:pStyle w:val="Default"/>
        <w:ind w:firstLine="567"/>
        <w:jc w:val="both"/>
        <w:rPr>
          <w:szCs w:val="24"/>
          <w:lang w:val="en-US"/>
        </w:rPr>
      </w:pPr>
      <w:r w:rsidRPr="00E27EED">
        <w:rPr>
          <w:szCs w:val="24"/>
          <w:lang w:val="en-US"/>
        </w:rPr>
        <w:t>The main stages of the risk management process are</w:t>
      </w:r>
      <w:r w:rsidR="005F2ABC">
        <w:rPr>
          <w:szCs w:val="24"/>
          <w:lang w:val="en-US"/>
        </w:rPr>
        <w:t xml:space="preserve"> as follows</w:t>
      </w:r>
      <w:r w:rsidRPr="00E27EED">
        <w:rPr>
          <w:szCs w:val="24"/>
          <w:lang w:val="en-US"/>
        </w:rPr>
        <w:t>: risk identification, risk assessment, risk control and monitoring, and the preparation of risk reports.</w:t>
      </w:r>
    </w:p>
    <w:p w:rsidR="00C23FD3" w:rsidRPr="00E27EED" w:rsidRDefault="00C23FD3" w:rsidP="000B0C64">
      <w:pPr>
        <w:pStyle w:val="Default"/>
        <w:ind w:firstLine="567"/>
        <w:jc w:val="both"/>
        <w:rPr>
          <w:szCs w:val="24"/>
          <w:lang w:val="en-US"/>
        </w:rPr>
      </w:pPr>
      <w:r w:rsidRPr="00E27EED">
        <w:rPr>
          <w:szCs w:val="24"/>
          <w:lang w:val="en-US"/>
        </w:rPr>
        <w:t xml:space="preserve">Key risk management methods: </w:t>
      </w:r>
    </w:p>
    <w:p w:rsidR="00C23FD3" w:rsidRPr="00E27EED" w:rsidRDefault="005F2ABC" w:rsidP="001C68BB">
      <w:pPr>
        <w:pStyle w:val="Default"/>
        <w:numPr>
          <w:ilvl w:val="0"/>
          <w:numId w:val="23"/>
        </w:numPr>
        <w:jc w:val="both"/>
        <w:rPr>
          <w:szCs w:val="24"/>
          <w:lang w:val="en-US"/>
        </w:rPr>
      </w:pPr>
      <w:r>
        <w:rPr>
          <w:szCs w:val="24"/>
          <w:lang w:val="en-US"/>
        </w:rPr>
        <w:t>R</w:t>
      </w:r>
      <w:r w:rsidR="00C23FD3" w:rsidRPr="00E27EED">
        <w:rPr>
          <w:szCs w:val="24"/>
          <w:lang w:val="en-US"/>
        </w:rPr>
        <w:t xml:space="preserve">egulation of operations; </w:t>
      </w:r>
    </w:p>
    <w:p w:rsidR="00C23FD3" w:rsidRPr="00E27EED" w:rsidRDefault="005F2ABC" w:rsidP="001C68BB">
      <w:pPr>
        <w:pStyle w:val="Default"/>
        <w:numPr>
          <w:ilvl w:val="0"/>
          <w:numId w:val="23"/>
        </w:numPr>
        <w:jc w:val="both"/>
        <w:rPr>
          <w:szCs w:val="24"/>
          <w:lang w:val="en-US"/>
        </w:rPr>
      </w:pPr>
      <w:r>
        <w:rPr>
          <w:szCs w:val="24"/>
          <w:lang w:val="en-US"/>
        </w:rPr>
        <w:t>S</w:t>
      </w:r>
      <w:r w:rsidR="00C23FD3" w:rsidRPr="00E27EED">
        <w:rPr>
          <w:szCs w:val="24"/>
          <w:lang w:val="en-US"/>
        </w:rPr>
        <w:t xml:space="preserve">etting limits (including a pre-limit approach); </w:t>
      </w:r>
    </w:p>
    <w:p w:rsidR="00C23FD3" w:rsidRPr="00E27EED" w:rsidRDefault="005F2ABC" w:rsidP="001C68BB">
      <w:pPr>
        <w:pStyle w:val="Default"/>
        <w:numPr>
          <w:ilvl w:val="0"/>
          <w:numId w:val="23"/>
        </w:numPr>
        <w:jc w:val="both"/>
        <w:rPr>
          <w:szCs w:val="24"/>
          <w:lang w:val="en-US"/>
        </w:rPr>
      </w:pPr>
      <w:r>
        <w:rPr>
          <w:szCs w:val="24"/>
          <w:lang w:val="en-US"/>
        </w:rPr>
        <w:t>D</w:t>
      </w:r>
      <w:r w:rsidR="00C23FD3" w:rsidRPr="00E27EED">
        <w:rPr>
          <w:szCs w:val="24"/>
          <w:lang w:val="en-US"/>
        </w:rPr>
        <w:t xml:space="preserve">iversification of operations; </w:t>
      </w:r>
    </w:p>
    <w:p w:rsidR="00C23FD3" w:rsidRPr="00E27EED" w:rsidRDefault="005F2ABC" w:rsidP="001C68BB">
      <w:pPr>
        <w:pStyle w:val="Default"/>
        <w:numPr>
          <w:ilvl w:val="0"/>
          <w:numId w:val="23"/>
        </w:numPr>
        <w:jc w:val="both"/>
        <w:rPr>
          <w:szCs w:val="24"/>
          <w:lang w:val="en-US"/>
        </w:rPr>
      </w:pPr>
      <w:r>
        <w:rPr>
          <w:szCs w:val="24"/>
          <w:lang w:val="en-US"/>
        </w:rPr>
        <w:t>E</w:t>
      </w:r>
      <w:r w:rsidR="00C23FD3" w:rsidRPr="00E27EED">
        <w:rPr>
          <w:szCs w:val="24"/>
          <w:lang w:val="en-US"/>
        </w:rPr>
        <w:t xml:space="preserve">arly warning indicators of risk; </w:t>
      </w:r>
    </w:p>
    <w:p w:rsidR="00C23FD3" w:rsidRPr="00E27EED" w:rsidRDefault="005F2ABC" w:rsidP="001C68BB">
      <w:pPr>
        <w:pStyle w:val="Default"/>
        <w:numPr>
          <w:ilvl w:val="0"/>
          <w:numId w:val="23"/>
        </w:numPr>
        <w:jc w:val="both"/>
        <w:rPr>
          <w:szCs w:val="24"/>
          <w:lang w:val="en-US"/>
        </w:rPr>
      </w:pPr>
      <w:r>
        <w:rPr>
          <w:szCs w:val="24"/>
          <w:lang w:val="en-US"/>
        </w:rPr>
        <w:t>S</w:t>
      </w:r>
      <w:r w:rsidR="00C23FD3" w:rsidRPr="00E27EED">
        <w:rPr>
          <w:szCs w:val="24"/>
          <w:lang w:val="en-US"/>
        </w:rPr>
        <w:t xml:space="preserve">tress testing (using scenario analysis and sensitivity analysis); </w:t>
      </w:r>
    </w:p>
    <w:p w:rsidR="00C23FD3" w:rsidRPr="00E27EED" w:rsidRDefault="005F2ABC" w:rsidP="001C68BB">
      <w:pPr>
        <w:pStyle w:val="Default"/>
        <w:numPr>
          <w:ilvl w:val="0"/>
          <w:numId w:val="23"/>
        </w:numPr>
        <w:jc w:val="both"/>
        <w:rPr>
          <w:szCs w:val="24"/>
          <w:lang w:val="en-US"/>
        </w:rPr>
      </w:pPr>
      <w:r>
        <w:rPr>
          <w:szCs w:val="24"/>
          <w:lang w:val="en-US"/>
        </w:rPr>
        <w:lastRenderedPageBreak/>
        <w:t>S</w:t>
      </w:r>
      <w:r w:rsidR="00C23FD3" w:rsidRPr="00E27EED">
        <w:rPr>
          <w:szCs w:val="24"/>
          <w:lang w:val="en-US"/>
        </w:rPr>
        <w:t>etting risk appetite metrics;</w:t>
      </w:r>
    </w:p>
    <w:p w:rsidR="00C23FD3" w:rsidRPr="00E27EED" w:rsidRDefault="005F2ABC" w:rsidP="001C68BB">
      <w:pPr>
        <w:pStyle w:val="Default"/>
        <w:numPr>
          <w:ilvl w:val="0"/>
          <w:numId w:val="23"/>
        </w:numPr>
        <w:jc w:val="both"/>
        <w:rPr>
          <w:szCs w:val="24"/>
          <w:lang w:val="en-US"/>
        </w:rPr>
      </w:pPr>
      <w:r>
        <w:rPr>
          <w:szCs w:val="24"/>
          <w:lang w:val="en-US"/>
        </w:rPr>
        <w:t>D</w:t>
      </w:r>
      <w:r w:rsidR="00C23FD3" w:rsidRPr="00E27EED">
        <w:rPr>
          <w:szCs w:val="24"/>
          <w:lang w:val="en-US"/>
        </w:rPr>
        <w:t>etermining economic capital;</w:t>
      </w:r>
    </w:p>
    <w:p w:rsidR="00C23FD3" w:rsidRPr="00E27EED" w:rsidRDefault="005F2ABC" w:rsidP="001C68BB">
      <w:pPr>
        <w:pStyle w:val="Default"/>
        <w:numPr>
          <w:ilvl w:val="0"/>
          <w:numId w:val="23"/>
        </w:numPr>
        <w:jc w:val="both"/>
        <w:rPr>
          <w:szCs w:val="24"/>
          <w:lang w:val="en-US"/>
        </w:rPr>
      </w:pPr>
      <w:r>
        <w:rPr>
          <w:szCs w:val="24"/>
          <w:lang w:val="en-US"/>
        </w:rPr>
        <w:t>R</w:t>
      </w:r>
      <w:r w:rsidR="00C23FD3" w:rsidRPr="00E27EED">
        <w:rPr>
          <w:szCs w:val="24"/>
          <w:lang w:val="en-US"/>
        </w:rPr>
        <w:t xml:space="preserve">isk hedging; </w:t>
      </w:r>
    </w:p>
    <w:p w:rsidR="00C23FD3" w:rsidRPr="00E27EED" w:rsidRDefault="005F2ABC" w:rsidP="001C68BB">
      <w:pPr>
        <w:pStyle w:val="Default"/>
        <w:numPr>
          <w:ilvl w:val="0"/>
          <w:numId w:val="23"/>
        </w:numPr>
        <w:jc w:val="both"/>
        <w:rPr>
          <w:szCs w:val="24"/>
          <w:lang w:val="en-US"/>
        </w:rPr>
      </w:pPr>
      <w:r>
        <w:rPr>
          <w:lang w:val="en-US"/>
        </w:rPr>
        <w:t>F</w:t>
      </w:r>
      <w:r w:rsidRPr="005F2ABC">
        <w:rPr>
          <w:lang w:val="en-US"/>
        </w:rPr>
        <w:t>ormation of an adequate level of loss provisions</w:t>
      </w:r>
      <w:r w:rsidR="00C23FD3" w:rsidRPr="00E27EED">
        <w:rPr>
          <w:szCs w:val="24"/>
          <w:lang w:val="en-US"/>
        </w:rPr>
        <w:t xml:space="preserve">; </w:t>
      </w:r>
    </w:p>
    <w:p w:rsidR="00C23FD3" w:rsidRPr="00E27EED" w:rsidRDefault="005F2ABC" w:rsidP="001C68BB">
      <w:pPr>
        <w:pStyle w:val="Default"/>
        <w:numPr>
          <w:ilvl w:val="0"/>
          <w:numId w:val="23"/>
        </w:numPr>
        <w:jc w:val="both"/>
        <w:rPr>
          <w:szCs w:val="24"/>
          <w:lang w:val="en-US"/>
        </w:rPr>
      </w:pPr>
      <w:r>
        <w:rPr>
          <w:szCs w:val="24"/>
          <w:lang w:val="en-US"/>
        </w:rPr>
        <w:t>M</w:t>
      </w:r>
      <w:r w:rsidR="00C23FD3" w:rsidRPr="00E27EED">
        <w:rPr>
          <w:szCs w:val="24"/>
          <w:lang w:val="en-US"/>
        </w:rPr>
        <w:t xml:space="preserve">aintaining capital adequacy. </w:t>
      </w:r>
    </w:p>
    <w:p w:rsidR="00C23FD3" w:rsidRPr="00E27EED" w:rsidRDefault="00C23FD3" w:rsidP="000B0C64">
      <w:pPr>
        <w:pStyle w:val="Default"/>
        <w:ind w:firstLine="567"/>
        <w:jc w:val="both"/>
        <w:rPr>
          <w:szCs w:val="24"/>
          <w:lang w:val="en-US"/>
        </w:rPr>
      </w:pPr>
      <w:r w:rsidRPr="00E27EED">
        <w:rPr>
          <w:szCs w:val="24"/>
          <w:lang w:val="en-US"/>
        </w:rPr>
        <w:t xml:space="preserve">The </w:t>
      </w:r>
      <w:r w:rsidR="005F2ABC">
        <w:rPr>
          <w:szCs w:val="24"/>
          <w:lang w:val="en-US"/>
        </w:rPr>
        <w:t>selection</w:t>
      </w:r>
      <w:r w:rsidRPr="00E27EED">
        <w:rPr>
          <w:szCs w:val="24"/>
          <w:lang w:val="en-US"/>
        </w:rPr>
        <w:t xml:space="preserve"> of an effective risk measurement method is determined based on the specifics and nature of each particular type of risk. The application of financial risk assessment in analysis involves calculating quantitative indicators of risk levels. Mathematical risk calculation tools can be used for this purpose, including Value at Risk (VaR) methods, scoring methods, volatility models, break-even analysis, and others. A qualitative assessment of the probability of risk occurrence is also used. </w:t>
      </w:r>
    </w:p>
    <w:p w:rsidR="00C23FD3" w:rsidRPr="00E27EED" w:rsidRDefault="00C23FD3" w:rsidP="000B0C64">
      <w:pPr>
        <w:pStyle w:val="Default"/>
        <w:ind w:firstLine="567"/>
        <w:jc w:val="both"/>
        <w:rPr>
          <w:szCs w:val="24"/>
          <w:lang w:val="en-US"/>
        </w:rPr>
      </w:pPr>
      <w:r w:rsidRPr="00E27EED">
        <w:rPr>
          <w:szCs w:val="24"/>
          <w:lang w:val="en-US"/>
        </w:rPr>
        <w:t>Regulation of operations</w:t>
      </w:r>
      <w:r w:rsidR="005F2ABC">
        <w:rPr>
          <w:szCs w:val="24"/>
          <w:lang w:val="en-US"/>
        </w:rPr>
        <w:t xml:space="preserve"> refers to </w:t>
      </w:r>
      <w:r w:rsidRPr="00E27EED">
        <w:rPr>
          <w:szCs w:val="24"/>
          <w:lang w:val="en-US"/>
        </w:rPr>
        <w:t xml:space="preserve">qualitative risk management through the establishment of procedures for conducting operations, taking into account the effective logistics of business processes and the principles of building an internal control system. </w:t>
      </w:r>
    </w:p>
    <w:p w:rsidR="00C23FD3" w:rsidRPr="00E27EED" w:rsidRDefault="00C23FD3" w:rsidP="000B0C64">
      <w:pPr>
        <w:pStyle w:val="Default"/>
        <w:ind w:firstLine="567"/>
        <w:jc w:val="both"/>
        <w:rPr>
          <w:szCs w:val="24"/>
          <w:lang w:val="en-US"/>
        </w:rPr>
      </w:pPr>
      <w:r w:rsidRPr="00E27EED">
        <w:rPr>
          <w:szCs w:val="24"/>
          <w:lang w:val="en-US"/>
        </w:rPr>
        <w:t>Setting limits (restrictions) on all types of financial transactions and instruments conducted by the Bank</w:t>
      </w:r>
      <w:r w:rsidR="005F2ABC">
        <w:rPr>
          <w:szCs w:val="24"/>
          <w:lang w:val="en-US"/>
        </w:rPr>
        <w:t xml:space="preserve"> represents </w:t>
      </w:r>
      <w:r w:rsidRPr="00E27EED">
        <w:rPr>
          <w:szCs w:val="24"/>
          <w:lang w:val="en-US"/>
        </w:rPr>
        <w:t xml:space="preserve">the primary quantitative method of risk management. </w:t>
      </w:r>
    </w:p>
    <w:p w:rsidR="00C23FD3" w:rsidRPr="00E27EED" w:rsidRDefault="00C23FD3" w:rsidP="000B0C64">
      <w:pPr>
        <w:pStyle w:val="Default"/>
        <w:ind w:firstLine="567"/>
        <w:jc w:val="both"/>
        <w:rPr>
          <w:szCs w:val="24"/>
          <w:lang w:val="en-US"/>
        </w:rPr>
      </w:pPr>
      <w:r w:rsidRPr="00E27EED">
        <w:rPr>
          <w:szCs w:val="24"/>
          <w:lang w:val="en-US"/>
        </w:rPr>
        <w:t xml:space="preserve">The Bank’s risk control limits are set, taking into account intra-group transactions, both at the Bank level and broken down by the Bank’s business lines and </w:t>
      </w:r>
      <w:r w:rsidR="005F2ABC">
        <w:rPr>
          <w:szCs w:val="24"/>
          <w:lang w:val="en-US"/>
        </w:rPr>
        <w:t>sub</w:t>
      </w:r>
      <w:r w:rsidRPr="00E27EED">
        <w:rPr>
          <w:szCs w:val="24"/>
          <w:lang w:val="en-US"/>
        </w:rPr>
        <w:t xml:space="preserve">divisions. </w:t>
      </w:r>
    </w:p>
    <w:p w:rsidR="00C23FD3" w:rsidRPr="00E27EED" w:rsidRDefault="00C23FD3" w:rsidP="000B0C64">
      <w:pPr>
        <w:pStyle w:val="Default"/>
        <w:ind w:firstLine="567"/>
        <w:jc w:val="both"/>
        <w:rPr>
          <w:szCs w:val="24"/>
          <w:lang w:val="en-US"/>
        </w:rPr>
      </w:pPr>
      <w:r w:rsidRPr="00351CED">
        <w:rPr>
          <w:szCs w:val="24"/>
          <w:lang w:val="en-US"/>
        </w:rPr>
        <w:t>The Risk Management Committee is authorized to define the list of key risk indicators</w:t>
      </w:r>
      <w:r w:rsidRPr="00E27EED">
        <w:rPr>
          <w:szCs w:val="24"/>
          <w:lang w:val="en-US"/>
        </w:rPr>
        <w:t xml:space="preserve"> subject to control limits and to approve the register of limits. </w:t>
      </w:r>
    </w:p>
    <w:p w:rsidR="00C23FD3" w:rsidRPr="00E27EED" w:rsidRDefault="00C23FD3" w:rsidP="000B0C64">
      <w:pPr>
        <w:pStyle w:val="Default"/>
        <w:ind w:firstLine="567"/>
        <w:jc w:val="both"/>
        <w:rPr>
          <w:szCs w:val="24"/>
          <w:lang w:val="en-US"/>
        </w:rPr>
      </w:pPr>
      <w:r w:rsidRPr="00E27EED">
        <w:rPr>
          <w:szCs w:val="24"/>
          <w:lang w:val="en-US"/>
        </w:rPr>
        <w:t>The Bank has established internal limits for:</w:t>
      </w:r>
    </w:p>
    <w:p w:rsidR="00C23FD3" w:rsidRPr="00E27EED" w:rsidRDefault="00C23FD3" w:rsidP="001C68BB">
      <w:pPr>
        <w:pStyle w:val="Default"/>
        <w:numPr>
          <w:ilvl w:val="0"/>
          <w:numId w:val="24"/>
        </w:numPr>
        <w:jc w:val="both"/>
        <w:rPr>
          <w:szCs w:val="24"/>
          <w:lang w:val="en-US"/>
        </w:rPr>
      </w:pPr>
      <w:r w:rsidRPr="00E27EED">
        <w:rPr>
          <w:szCs w:val="24"/>
          <w:lang w:val="en-US"/>
        </w:rPr>
        <w:t>Liquidity risk;</w:t>
      </w:r>
    </w:p>
    <w:p w:rsidR="00C23FD3" w:rsidRPr="00E27EED" w:rsidRDefault="00C23FD3" w:rsidP="001C68BB">
      <w:pPr>
        <w:pStyle w:val="Default"/>
        <w:numPr>
          <w:ilvl w:val="0"/>
          <w:numId w:val="24"/>
        </w:numPr>
        <w:jc w:val="both"/>
        <w:rPr>
          <w:szCs w:val="24"/>
          <w:lang w:val="en-US"/>
        </w:rPr>
      </w:pPr>
      <w:r w:rsidRPr="00E27EED">
        <w:rPr>
          <w:szCs w:val="24"/>
          <w:lang w:val="en-US"/>
        </w:rPr>
        <w:t>Market risks;</w:t>
      </w:r>
    </w:p>
    <w:p w:rsidR="00C23FD3" w:rsidRPr="00E27EED" w:rsidRDefault="00C23FD3" w:rsidP="001C68BB">
      <w:pPr>
        <w:pStyle w:val="Default"/>
        <w:numPr>
          <w:ilvl w:val="0"/>
          <w:numId w:val="24"/>
        </w:numPr>
        <w:jc w:val="both"/>
        <w:rPr>
          <w:szCs w:val="24"/>
          <w:lang w:val="en-US"/>
        </w:rPr>
      </w:pPr>
      <w:r w:rsidRPr="00E27EED">
        <w:rPr>
          <w:szCs w:val="24"/>
          <w:lang w:val="en-US"/>
        </w:rPr>
        <w:t>Counterparty risk;</w:t>
      </w:r>
    </w:p>
    <w:p w:rsidR="00C23FD3" w:rsidRPr="00E27EED" w:rsidRDefault="00C23FD3" w:rsidP="001C68BB">
      <w:pPr>
        <w:pStyle w:val="Default"/>
        <w:numPr>
          <w:ilvl w:val="0"/>
          <w:numId w:val="24"/>
        </w:numPr>
        <w:jc w:val="both"/>
        <w:rPr>
          <w:szCs w:val="24"/>
          <w:lang w:val="en-US"/>
        </w:rPr>
      </w:pPr>
      <w:r w:rsidRPr="00E27EED">
        <w:rPr>
          <w:szCs w:val="24"/>
          <w:lang w:val="en-US"/>
        </w:rPr>
        <w:t xml:space="preserve">Credit risk, including </w:t>
      </w:r>
      <w:r w:rsidR="00351CED">
        <w:rPr>
          <w:szCs w:val="24"/>
          <w:lang w:val="en-US"/>
        </w:rPr>
        <w:t xml:space="preserve">in terms of </w:t>
      </w:r>
      <w:r w:rsidRPr="00E27EED">
        <w:rPr>
          <w:szCs w:val="24"/>
          <w:lang w:val="en-US"/>
        </w:rPr>
        <w:t>portfolio quality;</w:t>
      </w:r>
    </w:p>
    <w:p w:rsidR="00C23FD3" w:rsidRPr="00E27EED" w:rsidRDefault="00C23FD3" w:rsidP="001C68BB">
      <w:pPr>
        <w:pStyle w:val="Default"/>
        <w:numPr>
          <w:ilvl w:val="0"/>
          <w:numId w:val="24"/>
        </w:numPr>
        <w:jc w:val="both"/>
        <w:rPr>
          <w:szCs w:val="24"/>
          <w:lang w:val="en-US"/>
        </w:rPr>
      </w:pPr>
      <w:r w:rsidRPr="00E27EED">
        <w:rPr>
          <w:szCs w:val="24"/>
          <w:lang w:val="en-US"/>
        </w:rPr>
        <w:t>Other types of risks.</w:t>
      </w:r>
    </w:p>
    <w:p w:rsidR="00C23FD3" w:rsidRPr="00E27EED" w:rsidRDefault="00C23FD3" w:rsidP="000B0C64">
      <w:pPr>
        <w:pStyle w:val="Default"/>
        <w:ind w:firstLine="567"/>
        <w:jc w:val="both"/>
        <w:rPr>
          <w:szCs w:val="24"/>
          <w:lang w:val="en-US"/>
        </w:rPr>
      </w:pPr>
      <w:r w:rsidRPr="00E27EED">
        <w:rPr>
          <w:szCs w:val="24"/>
          <w:lang w:val="en-US"/>
        </w:rPr>
        <w:t xml:space="preserve">The procedure for setting these limits is governed by the Bank’s separate </w:t>
      </w:r>
      <w:r w:rsidR="00351CED">
        <w:rPr>
          <w:szCs w:val="24"/>
          <w:lang w:val="en-US"/>
        </w:rPr>
        <w:t>IRDs</w:t>
      </w:r>
      <w:r w:rsidRPr="00E27EED">
        <w:rPr>
          <w:szCs w:val="24"/>
          <w:lang w:val="en-US"/>
        </w:rPr>
        <w:t xml:space="preserve"> on managing these types of risks.</w:t>
      </w:r>
    </w:p>
    <w:p w:rsidR="00C23FD3" w:rsidRPr="00E27EED" w:rsidRDefault="00C23FD3" w:rsidP="000B0C64">
      <w:pPr>
        <w:pStyle w:val="Default"/>
        <w:ind w:firstLine="567"/>
        <w:jc w:val="both"/>
        <w:rPr>
          <w:szCs w:val="24"/>
          <w:lang w:val="en-US"/>
        </w:rPr>
      </w:pPr>
      <w:r w:rsidRPr="00E27EED">
        <w:rPr>
          <w:szCs w:val="24"/>
          <w:lang w:val="en-US"/>
        </w:rPr>
        <w:t xml:space="preserve">Diversification is the allocation of assets and liabilities across various components, both at the level of financial instruments and portfolios and among their constituent parts. </w:t>
      </w:r>
      <w:r w:rsidR="00351CED">
        <w:rPr>
          <w:szCs w:val="24"/>
          <w:lang w:val="en-US"/>
        </w:rPr>
        <w:t>Concerning</w:t>
      </w:r>
      <w:r w:rsidRPr="00E27EED">
        <w:rPr>
          <w:szCs w:val="24"/>
          <w:lang w:val="en-US"/>
        </w:rPr>
        <w:t xml:space="preserve"> assets, </w:t>
      </w:r>
      <w:r w:rsidR="00351CED">
        <w:rPr>
          <w:szCs w:val="24"/>
          <w:lang w:val="en-US"/>
        </w:rPr>
        <w:t xml:space="preserve">the </w:t>
      </w:r>
      <w:r w:rsidRPr="00E27EED">
        <w:rPr>
          <w:szCs w:val="24"/>
          <w:lang w:val="en-US"/>
        </w:rPr>
        <w:t xml:space="preserve">diversification helps reduce losses in the event of a decline in the yield (or liquidity) of individual portfolios and financial instruments or their components. With respect to liabilities, </w:t>
      </w:r>
      <w:r w:rsidR="00351CED">
        <w:rPr>
          <w:szCs w:val="24"/>
          <w:lang w:val="en-US"/>
        </w:rPr>
        <w:t xml:space="preserve">the </w:t>
      </w:r>
      <w:r w:rsidRPr="00E27EED">
        <w:rPr>
          <w:szCs w:val="24"/>
          <w:lang w:val="en-US"/>
        </w:rPr>
        <w:t xml:space="preserve">diversification helps limit the Bank’s dependence on individual funding sources. </w:t>
      </w:r>
    </w:p>
    <w:p w:rsidR="00C23FD3" w:rsidRPr="00E27EED" w:rsidRDefault="00C23FD3" w:rsidP="000B0C64">
      <w:pPr>
        <w:spacing w:after="0" w:line="240" w:lineRule="auto"/>
        <w:ind w:firstLine="567"/>
        <w:jc w:val="both"/>
        <w:rPr>
          <w:sz w:val="24"/>
          <w:szCs w:val="24"/>
          <w:lang w:val="en-US"/>
        </w:rPr>
      </w:pPr>
      <w:r w:rsidRPr="00E27EED">
        <w:rPr>
          <w:rFonts w:ascii="Times New Roman" w:hAnsi="Times New Roman"/>
          <w:sz w:val="24"/>
          <w:szCs w:val="24"/>
          <w:lang w:val="en-US"/>
        </w:rPr>
        <w:tab/>
        <w:t xml:space="preserve">The Bank’s Board of Directors determines the overall strategy for diversifying the Bank’s business. The Bank’s </w:t>
      </w:r>
      <w:r w:rsidR="00351CED">
        <w:rPr>
          <w:rFonts w:ascii="Times New Roman" w:hAnsi="Times New Roman"/>
          <w:sz w:val="24"/>
          <w:szCs w:val="24"/>
          <w:lang w:val="en-US"/>
        </w:rPr>
        <w:t>ACBs</w:t>
      </w:r>
      <w:r w:rsidRPr="00E27EED">
        <w:rPr>
          <w:rFonts w:ascii="Times New Roman" w:hAnsi="Times New Roman"/>
          <w:sz w:val="24"/>
          <w:szCs w:val="24"/>
          <w:lang w:val="en-US"/>
        </w:rPr>
        <w:t xml:space="preserve">, within the framework of the approved strategy, manage the diversification of the structure of assets and liabilities (the Credit Committee under the Board of Directors and the Credit Committee under the Management Board manage the diversification of the loan portfolio, while the </w:t>
      </w:r>
      <w:r w:rsidR="00351CED">
        <w:rPr>
          <w:rFonts w:ascii="Times New Roman" w:hAnsi="Times New Roman"/>
          <w:sz w:val="24"/>
          <w:szCs w:val="24"/>
          <w:lang w:val="en-US"/>
        </w:rPr>
        <w:t>RMC</w:t>
      </w:r>
      <w:r w:rsidRPr="00E27EED">
        <w:rPr>
          <w:rFonts w:ascii="Times New Roman" w:hAnsi="Times New Roman"/>
          <w:sz w:val="24"/>
          <w:szCs w:val="24"/>
          <w:lang w:val="en-US"/>
        </w:rPr>
        <w:t xml:space="preserve"> and the </w:t>
      </w:r>
      <w:r w:rsidR="00351CED">
        <w:rPr>
          <w:rFonts w:ascii="Times New Roman" w:hAnsi="Times New Roman"/>
          <w:sz w:val="24"/>
          <w:szCs w:val="24"/>
          <w:lang w:val="en-US"/>
        </w:rPr>
        <w:t>ALMC</w:t>
      </w:r>
      <w:r w:rsidRPr="00E27EED">
        <w:rPr>
          <w:rFonts w:ascii="Times New Roman" w:hAnsi="Times New Roman"/>
          <w:sz w:val="24"/>
          <w:szCs w:val="24"/>
          <w:lang w:val="en-US"/>
        </w:rPr>
        <w:t xml:space="preserve"> manage the diversification of the Bank’s other assets and liabilities). </w:t>
      </w:r>
    </w:p>
    <w:p w:rsidR="00C23FD3" w:rsidRPr="00E27EED" w:rsidRDefault="00C23FD3" w:rsidP="000B0C64">
      <w:pPr>
        <w:pStyle w:val="Default"/>
        <w:ind w:firstLine="567"/>
        <w:jc w:val="both"/>
        <w:rPr>
          <w:szCs w:val="24"/>
          <w:lang w:val="en-US"/>
        </w:rPr>
      </w:pPr>
      <w:r w:rsidRPr="00E27EED">
        <w:rPr>
          <w:szCs w:val="24"/>
          <w:lang w:val="en-US"/>
        </w:rPr>
        <w:t xml:space="preserve">The Risk Department, in collaboration with the Bank’s </w:t>
      </w:r>
      <w:r w:rsidR="00351CED">
        <w:rPr>
          <w:szCs w:val="24"/>
          <w:lang w:val="en-US"/>
        </w:rPr>
        <w:t>structural subdivisions</w:t>
      </w:r>
      <w:r w:rsidRPr="00E27EED">
        <w:rPr>
          <w:szCs w:val="24"/>
          <w:lang w:val="en-US"/>
        </w:rPr>
        <w:t>, develops early warning indicators for liquidity and market risks, which are analyzed periodic</w:t>
      </w:r>
      <w:r w:rsidR="00F97CF7">
        <w:rPr>
          <w:szCs w:val="24"/>
          <w:lang w:val="en-US"/>
        </w:rPr>
        <w:t>ally</w:t>
      </w:r>
      <w:r w:rsidRPr="00E27EED">
        <w:rPr>
          <w:szCs w:val="24"/>
          <w:lang w:val="en-US"/>
        </w:rPr>
        <w:t>. The results of monitoring early warning indicators for liquidity and market risks are included in management reports submitted to the Management Board monthly and to the Board of Directors and the Credit Risk Committee quarterly.</w:t>
      </w:r>
    </w:p>
    <w:p w:rsidR="00C23FD3" w:rsidRPr="00E27EED" w:rsidRDefault="00C23FD3" w:rsidP="000B0C64">
      <w:pPr>
        <w:pStyle w:val="Default"/>
        <w:ind w:firstLine="567"/>
        <w:jc w:val="both"/>
        <w:rPr>
          <w:szCs w:val="24"/>
          <w:lang w:val="en-US"/>
        </w:rPr>
      </w:pPr>
      <w:r w:rsidRPr="00E27EED">
        <w:rPr>
          <w:szCs w:val="24"/>
          <w:lang w:val="en-US"/>
        </w:rPr>
        <w:t xml:space="preserve">The Risk Department conducts stress testing and assesses changes in market conditions, changes in the nature and scale of the Bank’s operations, as well as the Bank’s actual experience in stressful situations. Stress testing scenarios are approved by the Bank’s Board of Directors. The results of the assessment, along with proposals (if necessary) to modify the stress-testing scenarios, are submitted by the Risk Department at least once a year to the </w:t>
      </w:r>
      <w:r w:rsidR="00351CED">
        <w:rPr>
          <w:szCs w:val="24"/>
          <w:lang w:val="en-US"/>
        </w:rPr>
        <w:t>RMC</w:t>
      </w:r>
      <w:r w:rsidRPr="00E27EED">
        <w:rPr>
          <w:szCs w:val="24"/>
          <w:lang w:val="en-US"/>
        </w:rPr>
        <w:t xml:space="preserve"> for review and approval by the Bank’s Board of Directors. A report on the results of risk stress testing is prepared by the Risk Department and regularly submitted for review </w:t>
      </w:r>
      <w:r w:rsidR="00351CED">
        <w:rPr>
          <w:szCs w:val="24"/>
          <w:lang w:val="en-US"/>
        </w:rPr>
        <w:t>to</w:t>
      </w:r>
      <w:r w:rsidRPr="00E27EED">
        <w:rPr>
          <w:szCs w:val="24"/>
          <w:lang w:val="en-US"/>
        </w:rPr>
        <w:t xml:space="preserve"> the Management Board, the </w:t>
      </w:r>
      <w:r w:rsidR="00351CED">
        <w:rPr>
          <w:szCs w:val="24"/>
          <w:lang w:val="en-US"/>
        </w:rPr>
        <w:t>RMC</w:t>
      </w:r>
      <w:r w:rsidRPr="00E27EED">
        <w:rPr>
          <w:szCs w:val="24"/>
          <w:lang w:val="en-US"/>
        </w:rPr>
        <w:t xml:space="preserve">, and the Bank’s Board of Directors. </w:t>
      </w:r>
    </w:p>
    <w:p w:rsidR="00C23FD3" w:rsidRPr="00E27EED" w:rsidRDefault="00C23FD3" w:rsidP="000B0C64">
      <w:pPr>
        <w:pStyle w:val="Default"/>
        <w:ind w:firstLine="567"/>
        <w:jc w:val="both"/>
        <w:rPr>
          <w:szCs w:val="24"/>
          <w:lang w:val="en-US"/>
        </w:rPr>
      </w:pPr>
      <w:r w:rsidRPr="00E27EED">
        <w:rPr>
          <w:szCs w:val="24"/>
          <w:lang w:val="en-US"/>
        </w:rPr>
        <w:lastRenderedPageBreak/>
        <w:t>Stress tests may be conducted either for individual types of significant risks or for all of them collectively—an integrated stress test.</w:t>
      </w:r>
    </w:p>
    <w:p w:rsidR="00C23FD3" w:rsidRPr="00E27EED" w:rsidRDefault="00C23FD3" w:rsidP="000B0C64">
      <w:pPr>
        <w:pStyle w:val="Default"/>
        <w:ind w:firstLine="567"/>
        <w:jc w:val="both"/>
        <w:rPr>
          <w:szCs w:val="24"/>
          <w:lang w:val="en-US"/>
        </w:rPr>
      </w:pPr>
      <w:r w:rsidRPr="00E27EED">
        <w:rPr>
          <w:szCs w:val="24"/>
          <w:lang w:val="en-US"/>
        </w:rPr>
        <w:t xml:space="preserve">The following types of scenarios are used </w:t>
      </w:r>
      <w:r w:rsidR="00351CED">
        <w:rPr>
          <w:szCs w:val="24"/>
          <w:lang w:val="en-US"/>
        </w:rPr>
        <w:t>within the framework of</w:t>
      </w:r>
      <w:r w:rsidRPr="00E27EED">
        <w:rPr>
          <w:szCs w:val="24"/>
          <w:lang w:val="en-US"/>
        </w:rPr>
        <w:t xml:space="preserve"> integrated stress testing:</w:t>
      </w:r>
    </w:p>
    <w:p w:rsidR="00C23FD3" w:rsidRPr="00E27EED" w:rsidRDefault="00351CED" w:rsidP="000B0C64">
      <w:pPr>
        <w:pStyle w:val="Default"/>
        <w:ind w:firstLine="567"/>
        <w:jc w:val="both"/>
        <w:rPr>
          <w:szCs w:val="24"/>
          <w:lang w:val="en-US"/>
        </w:rPr>
      </w:pPr>
      <w:r>
        <w:rPr>
          <w:szCs w:val="24"/>
          <w:lang w:val="en-US"/>
        </w:rPr>
        <w:t>A</w:t>
      </w:r>
      <w:r w:rsidR="00C23FD3" w:rsidRPr="00E27EED">
        <w:rPr>
          <w:szCs w:val="24"/>
          <w:lang w:val="en-US"/>
        </w:rPr>
        <w:t xml:space="preserve"> baseline (optimistic) stress-testing scenario, which identifies the most likely change in risk factors;</w:t>
      </w:r>
    </w:p>
    <w:p w:rsidR="00C23FD3" w:rsidRPr="00E27EED" w:rsidRDefault="00860B9C" w:rsidP="000B0C64">
      <w:pPr>
        <w:pStyle w:val="Default"/>
        <w:ind w:firstLine="567"/>
        <w:jc w:val="both"/>
        <w:rPr>
          <w:szCs w:val="24"/>
          <w:lang w:val="en-US"/>
        </w:rPr>
      </w:pPr>
      <w:r>
        <w:rPr>
          <w:szCs w:val="24"/>
          <w:lang w:val="en-US"/>
        </w:rPr>
        <w:t>A</w:t>
      </w:r>
      <w:r w:rsidR="00C23FD3" w:rsidRPr="00E27EED">
        <w:rPr>
          <w:szCs w:val="24"/>
          <w:lang w:val="en-US"/>
        </w:rPr>
        <w:t xml:space="preserve"> stress (moderate) </w:t>
      </w:r>
      <w:r w:rsidRPr="00E27EED">
        <w:rPr>
          <w:szCs w:val="24"/>
          <w:lang w:val="en-US"/>
        </w:rPr>
        <w:t xml:space="preserve">stress-testing </w:t>
      </w:r>
      <w:r w:rsidR="00C23FD3" w:rsidRPr="00E27EED">
        <w:rPr>
          <w:szCs w:val="24"/>
          <w:lang w:val="en-US"/>
        </w:rPr>
        <w:t xml:space="preserve">scenario, which </w:t>
      </w:r>
      <w:r>
        <w:rPr>
          <w:szCs w:val="24"/>
          <w:lang w:val="en-US"/>
        </w:rPr>
        <w:t>identifies</w:t>
      </w:r>
      <w:r w:rsidR="00C23FD3" w:rsidRPr="00E27EED">
        <w:rPr>
          <w:szCs w:val="24"/>
          <w:lang w:val="en-US"/>
        </w:rPr>
        <w:t xml:space="preserve"> a probable adverse change in risk factors;</w:t>
      </w:r>
    </w:p>
    <w:p w:rsidR="00C23FD3" w:rsidRPr="00E27EED" w:rsidRDefault="00860B9C" w:rsidP="000B0C64">
      <w:pPr>
        <w:pStyle w:val="Default"/>
        <w:ind w:firstLine="567"/>
        <w:jc w:val="both"/>
        <w:rPr>
          <w:szCs w:val="24"/>
          <w:lang w:val="en-US"/>
        </w:rPr>
      </w:pPr>
      <w:r>
        <w:rPr>
          <w:szCs w:val="24"/>
          <w:lang w:val="en-US"/>
        </w:rPr>
        <w:t>A</w:t>
      </w:r>
      <w:r w:rsidR="00C23FD3" w:rsidRPr="00E27EED">
        <w:rPr>
          <w:szCs w:val="24"/>
          <w:lang w:val="en-US"/>
        </w:rPr>
        <w:t xml:space="preserve"> pessimistic stress-testing scenario, the </w:t>
      </w:r>
      <w:r>
        <w:rPr>
          <w:szCs w:val="24"/>
          <w:lang w:val="en-US"/>
        </w:rPr>
        <w:t xml:space="preserve">implementation </w:t>
      </w:r>
      <w:r w:rsidR="00C23FD3" w:rsidRPr="00E27EED">
        <w:rPr>
          <w:szCs w:val="24"/>
          <w:lang w:val="en-US"/>
        </w:rPr>
        <w:t>of which would pose a significant threat to the Bank’s financial stability (reverse stress test).</w:t>
      </w:r>
    </w:p>
    <w:p w:rsidR="00C23FD3" w:rsidRPr="00E27EED" w:rsidRDefault="00C23FD3" w:rsidP="000B0C64">
      <w:pPr>
        <w:spacing w:after="0" w:line="240" w:lineRule="auto"/>
        <w:ind w:firstLine="567"/>
        <w:jc w:val="both"/>
        <w:rPr>
          <w:rFonts w:ascii="Times New Roman" w:hAnsi="Times New Roman"/>
          <w:sz w:val="24"/>
          <w:szCs w:val="24"/>
          <w:lang w:val="en-US"/>
        </w:rPr>
      </w:pPr>
      <w:r w:rsidRPr="00E27EED">
        <w:rPr>
          <w:rFonts w:ascii="Times New Roman" w:hAnsi="Times New Roman"/>
          <w:sz w:val="24"/>
          <w:szCs w:val="24"/>
          <w:lang w:val="en-US"/>
        </w:rPr>
        <w:t xml:space="preserve">Stress test scenarios are developed by the Risk Department. Stress test scenarios may also be provided by the National Bank of </w:t>
      </w:r>
      <w:r w:rsidR="00860B9C">
        <w:rPr>
          <w:rFonts w:ascii="Times New Roman" w:hAnsi="Times New Roman"/>
          <w:sz w:val="24"/>
          <w:szCs w:val="24"/>
          <w:lang w:val="en-US"/>
        </w:rPr>
        <w:t xml:space="preserve">the Republic of </w:t>
      </w:r>
      <w:r w:rsidRPr="00E27EED">
        <w:rPr>
          <w:rFonts w:ascii="Times New Roman" w:hAnsi="Times New Roman"/>
          <w:sz w:val="24"/>
          <w:szCs w:val="24"/>
          <w:lang w:val="en-US"/>
        </w:rPr>
        <w:t xml:space="preserve">Kazakhstan </w:t>
      </w:r>
      <w:r w:rsidR="00860B9C">
        <w:rPr>
          <w:rFonts w:ascii="Times New Roman" w:hAnsi="Times New Roman"/>
          <w:sz w:val="24"/>
          <w:szCs w:val="24"/>
          <w:lang w:val="en-US"/>
        </w:rPr>
        <w:t xml:space="preserve">within the framework </w:t>
      </w:r>
      <w:r w:rsidRPr="00E27EED">
        <w:rPr>
          <w:rFonts w:ascii="Times New Roman" w:hAnsi="Times New Roman"/>
          <w:sz w:val="24"/>
          <w:szCs w:val="24"/>
          <w:lang w:val="en-US"/>
        </w:rPr>
        <w:t>of supervisory stress testing.</w:t>
      </w:r>
    </w:p>
    <w:p w:rsidR="00C23FD3" w:rsidRPr="00E27EED" w:rsidRDefault="00C23FD3" w:rsidP="000B0C64">
      <w:pPr>
        <w:spacing w:after="0" w:line="240" w:lineRule="auto"/>
        <w:ind w:firstLine="567"/>
        <w:jc w:val="both"/>
        <w:rPr>
          <w:rFonts w:ascii="Times New Roman" w:hAnsi="Times New Roman"/>
          <w:sz w:val="24"/>
          <w:szCs w:val="24"/>
          <w:lang w:val="en-US"/>
        </w:rPr>
      </w:pPr>
      <w:r w:rsidRPr="00E27EED">
        <w:rPr>
          <w:rFonts w:ascii="Times New Roman" w:hAnsi="Times New Roman"/>
          <w:sz w:val="24"/>
          <w:szCs w:val="24"/>
          <w:lang w:val="en-US"/>
        </w:rPr>
        <w:t>The types and scenarios of stress tests are developed based on methodologies</w:t>
      </w:r>
      <w:r w:rsidR="00860B9C">
        <w:rPr>
          <w:rFonts w:ascii="Times New Roman" w:hAnsi="Times New Roman"/>
          <w:sz w:val="24"/>
          <w:szCs w:val="24"/>
          <w:lang w:val="en-US"/>
        </w:rPr>
        <w:t>/</w:t>
      </w:r>
      <w:r w:rsidRPr="00E27EED">
        <w:rPr>
          <w:rFonts w:ascii="Times New Roman" w:hAnsi="Times New Roman"/>
          <w:sz w:val="24"/>
          <w:szCs w:val="24"/>
          <w:lang w:val="en-US"/>
        </w:rPr>
        <w:t>models used in international financial practice and taking into account the requirements of stakeholders.</w:t>
      </w:r>
    </w:p>
    <w:p w:rsidR="00C23FD3" w:rsidRPr="00E27EED" w:rsidRDefault="00C23FD3" w:rsidP="000B0C64">
      <w:pPr>
        <w:spacing w:after="0" w:line="240" w:lineRule="auto"/>
        <w:ind w:firstLine="567"/>
        <w:jc w:val="both"/>
        <w:rPr>
          <w:rFonts w:ascii="Times New Roman" w:hAnsi="Times New Roman"/>
          <w:sz w:val="24"/>
          <w:szCs w:val="24"/>
          <w:lang w:val="en-US"/>
        </w:rPr>
      </w:pPr>
      <w:r w:rsidRPr="00E27EED">
        <w:rPr>
          <w:rFonts w:ascii="Times New Roman" w:hAnsi="Times New Roman"/>
          <w:sz w:val="24"/>
          <w:szCs w:val="24"/>
          <w:lang w:val="en-US"/>
        </w:rPr>
        <w:t>Stress testing procedures and scenarios are periodically reviewed (updated), including in light of the phase of the business cycle and changes in external and internal factors affecting the Bank’s operations.</w:t>
      </w:r>
    </w:p>
    <w:p w:rsidR="00C23FD3" w:rsidRPr="00E27EED" w:rsidRDefault="00C23FD3" w:rsidP="000B0C64">
      <w:pPr>
        <w:pStyle w:val="Default"/>
        <w:ind w:firstLine="567"/>
        <w:jc w:val="both"/>
        <w:rPr>
          <w:szCs w:val="24"/>
          <w:lang w:val="en-US"/>
        </w:rPr>
      </w:pPr>
      <w:r w:rsidRPr="00E27EED">
        <w:rPr>
          <w:szCs w:val="24"/>
          <w:lang w:val="en-US"/>
        </w:rPr>
        <w:t>Sustainable development risk factors may be taken into account in stress testing by assessing the impact of such factors at the Bank level</w:t>
      </w:r>
      <w:r w:rsidR="00860B9C">
        <w:rPr>
          <w:szCs w:val="24"/>
          <w:lang w:val="en-US"/>
        </w:rPr>
        <w:t>,</w:t>
      </w:r>
      <w:r w:rsidRPr="00E27EED">
        <w:rPr>
          <w:szCs w:val="24"/>
          <w:lang w:val="en-US"/>
        </w:rPr>
        <w:t xml:space="preserve"> and at the industry level, as well as through expert analysis of the impact of sustainable development risk factors</w:t>
      </w:r>
      <w:bookmarkStart w:id="7" w:name="OLE_LINK3"/>
      <w:r w:rsidRPr="00E27EED">
        <w:rPr>
          <w:szCs w:val="24"/>
          <w:lang w:val="en-US"/>
        </w:rPr>
        <w:t xml:space="preserve"> </w:t>
      </w:r>
      <w:bookmarkEnd w:id="7"/>
      <w:r w:rsidRPr="00E27EED">
        <w:rPr>
          <w:szCs w:val="24"/>
          <w:lang w:val="en-US"/>
        </w:rPr>
        <w:t xml:space="preserve"> on macroeconomic and microeconomic indicators (changes in gross domestic product (GDP) growth dynamics, working conditions, changes in prices of securities, commodities, and currencies, asset revaluation, and changes in financing conditions).</w:t>
      </w:r>
    </w:p>
    <w:p w:rsidR="00C23FD3" w:rsidRPr="00E27EED" w:rsidRDefault="00C23FD3" w:rsidP="000B0C64">
      <w:pPr>
        <w:pStyle w:val="Default"/>
        <w:ind w:firstLine="567"/>
        <w:jc w:val="both"/>
        <w:rPr>
          <w:szCs w:val="24"/>
          <w:lang w:val="en-US"/>
        </w:rPr>
      </w:pPr>
      <w:r w:rsidRPr="00E27EED">
        <w:rPr>
          <w:szCs w:val="24"/>
          <w:lang w:val="en-US"/>
        </w:rPr>
        <w:t xml:space="preserve">Information on the specific parameters of stress scenarios and the results of stress tests is submitted to the Bank’s Board of Directors and executive bodies </w:t>
      </w:r>
      <w:r w:rsidR="00860B9C">
        <w:rPr>
          <w:szCs w:val="24"/>
          <w:lang w:val="en-US"/>
        </w:rPr>
        <w:t>within the framework of</w:t>
      </w:r>
      <w:r w:rsidRPr="00E27EED">
        <w:rPr>
          <w:szCs w:val="24"/>
          <w:lang w:val="en-US"/>
        </w:rPr>
        <w:t xml:space="preserve"> risk reporting.</w:t>
      </w:r>
    </w:p>
    <w:p w:rsidR="00C23FD3" w:rsidRPr="00E27EED" w:rsidRDefault="00C23FD3" w:rsidP="000B0C64">
      <w:pPr>
        <w:pStyle w:val="Default"/>
        <w:ind w:firstLine="567"/>
        <w:jc w:val="both"/>
        <w:rPr>
          <w:szCs w:val="24"/>
          <w:lang w:val="en-US"/>
        </w:rPr>
      </w:pPr>
      <w:r w:rsidRPr="00E27EED">
        <w:rPr>
          <w:szCs w:val="24"/>
          <w:lang w:val="en-US"/>
        </w:rPr>
        <w:t xml:space="preserve">The results of stress testing are reviewed by the Bank’s </w:t>
      </w:r>
      <w:r w:rsidR="00860B9C">
        <w:rPr>
          <w:szCs w:val="24"/>
          <w:lang w:val="en-US"/>
        </w:rPr>
        <w:t>governing</w:t>
      </w:r>
      <w:r w:rsidRPr="00E27EED">
        <w:rPr>
          <w:szCs w:val="24"/>
          <w:lang w:val="en-US"/>
        </w:rPr>
        <w:t xml:space="preserve"> bodies and taken into account when making relevant manage</w:t>
      </w:r>
      <w:r w:rsidR="00860B9C">
        <w:rPr>
          <w:szCs w:val="24"/>
          <w:lang w:val="en-US"/>
        </w:rPr>
        <w:t>rial</w:t>
      </w:r>
      <w:r w:rsidRPr="00E27EED">
        <w:rPr>
          <w:szCs w:val="24"/>
          <w:lang w:val="en-US"/>
        </w:rPr>
        <w:t xml:space="preserve"> decisions; they may also be used to determine capital requirements and implement measures to reduce risk levels.</w:t>
      </w:r>
    </w:p>
    <w:p w:rsidR="00C23FD3" w:rsidRPr="00E27EED" w:rsidRDefault="00C23FD3" w:rsidP="000B0C64">
      <w:pPr>
        <w:pStyle w:val="Default"/>
        <w:ind w:firstLine="567"/>
        <w:jc w:val="both"/>
        <w:rPr>
          <w:szCs w:val="24"/>
          <w:lang w:val="en-US"/>
        </w:rPr>
      </w:pPr>
      <w:r w:rsidRPr="00E27EED">
        <w:rPr>
          <w:szCs w:val="24"/>
          <w:lang w:val="en-US"/>
        </w:rPr>
        <w:t>The Bank’s I</w:t>
      </w:r>
      <w:r w:rsidR="00860B9C">
        <w:rPr>
          <w:szCs w:val="24"/>
          <w:lang w:val="en-US"/>
        </w:rPr>
        <w:t xml:space="preserve">RDs </w:t>
      </w:r>
      <w:r w:rsidRPr="00E27EED">
        <w:rPr>
          <w:szCs w:val="24"/>
          <w:lang w:val="en-US"/>
        </w:rPr>
        <w:t>define possible corrective actions in stress situations.</w:t>
      </w:r>
    </w:p>
    <w:p w:rsidR="00C23FD3" w:rsidRPr="00E27EED" w:rsidRDefault="00C23FD3" w:rsidP="000B0C64">
      <w:pPr>
        <w:pStyle w:val="Default"/>
        <w:ind w:firstLine="567"/>
        <w:jc w:val="both"/>
        <w:rPr>
          <w:szCs w:val="24"/>
          <w:lang w:val="en-US"/>
        </w:rPr>
      </w:pPr>
      <w:r w:rsidRPr="00E27EED">
        <w:rPr>
          <w:szCs w:val="24"/>
          <w:lang w:val="en-US"/>
        </w:rPr>
        <w:t xml:space="preserve">Risk hedging involves insuring forward transactions against adverse changes in interest rates, exchange rates, and prices of commodities and financial instruments. This is carried out through direct hedging of the transaction subject, derivative financial instruments, and special hedging methods such as swaps, futures, and options, as well as through the use of other financial instruments. </w:t>
      </w:r>
    </w:p>
    <w:p w:rsidR="00C23FD3" w:rsidRPr="00E27EED" w:rsidRDefault="00C23FD3" w:rsidP="000B0C64">
      <w:pPr>
        <w:pStyle w:val="Default"/>
        <w:ind w:firstLine="567"/>
        <w:jc w:val="both"/>
        <w:rPr>
          <w:szCs w:val="24"/>
          <w:lang w:val="en-US"/>
        </w:rPr>
      </w:pPr>
      <w:r w:rsidRPr="00E27EED">
        <w:rPr>
          <w:szCs w:val="24"/>
          <w:lang w:val="en-US"/>
        </w:rPr>
        <w:t xml:space="preserve">The </w:t>
      </w:r>
      <w:r w:rsidR="00860B9C">
        <w:rPr>
          <w:szCs w:val="24"/>
          <w:lang w:val="en-US"/>
        </w:rPr>
        <w:t>formation</w:t>
      </w:r>
      <w:r w:rsidRPr="00E27EED">
        <w:rPr>
          <w:szCs w:val="24"/>
          <w:lang w:val="en-US"/>
        </w:rPr>
        <w:t xml:space="preserve"> of loss </w:t>
      </w:r>
      <w:r w:rsidR="00860B9C">
        <w:rPr>
          <w:szCs w:val="24"/>
          <w:lang w:val="en-US"/>
        </w:rPr>
        <w:t>provisions</w:t>
      </w:r>
      <w:r w:rsidRPr="00E27EED">
        <w:rPr>
          <w:szCs w:val="24"/>
          <w:lang w:val="en-US"/>
        </w:rPr>
        <w:t xml:space="preserve"> allows the Bank to cover the risk using its own funds. </w:t>
      </w:r>
    </w:p>
    <w:p w:rsidR="00C23FD3" w:rsidRPr="00E27EED" w:rsidRDefault="00C23FD3" w:rsidP="000B0C64">
      <w:pPr>
        <w:pStyle w:val="Default"/>
        <w:ind w:firstLine="567"/>
        <w:jc w:val="both"/>
        <w:rPr>
          <w:szCs w:val="24"/>
          <w:lang w:val="en-US"/>
        </w:rPr>
      </w:pPr>
      <w:r w:rsidRPr="00E27EED">
        <w:rPr>
          <w:szCs w:val="24"/>
          <w:lang w:val="en-US"/>
        </w:rPr>
        <w:t xml:space="preserve">Maintaining capital adequacy, which plays a key role in covering the risks assumed. The procedure for analyzing, managing, and maintaining capital adequacy is governed by the Bank’s internal documents. </w:t>
      </w:r>
    </w:p>
    <w:p w:rsidR="00A2266F" w:rsidRPr="00E27EED" w:rsidRDefault="00A2266F" w:rsidP="000B0C64">
      <w:pPr>
        <w:pStyle w:val="1"/>
        <w:jc w:val="both"/>
        <w:rPr>
          <w:rStyle w:val="s19"/>
          <w:b/>
          <w:color w:val="auto"/>
          <w:sz w:val="24"/>
          <w:lang w:val="en-US"/>
        </w:rPr>
      </w:pPr>
      <w:bookmarkStart w:id="8" w:name="_Toc198046465"/>
      <w:bookmarkStart w:id="9" w:name="_Toc233981986"/>
      <w:r w:rsidRPr="00E27EED">
        <w:rPr>
          <w:rStyle w:val="s19"/>
          <w:b/>
          <w:color w:val="auto"/>
          <w:sz w:val="24"/>
          <w:lang w:val="en-US"/>
        </w:rPr>
        <w:t>6. Information on the Bank’s Equity</w:t>
      </w:r>
      <w:bookmarkEnd w:id="8"/>
      <w:r w:rsidR="00860B9C">
        <w:rPr>
          <w:rStyle w:val="s19"/>
          <w:b/>
          <w:color w:val="auto"/>
          <w:sz w:val="24"/>
          <w:lang w:val="en-US"/>
        </w:rPr>
        <w:t xml:space="preserve"> Capital</w:t>
      </w:r>
      <w:bookmarkEnd w:id="9"/>
    </w:p>
    <w:p w:rsidR="00A2266F" w:rsidRPr="00E27EED" w:rsidRDefault="00A2266F" w:rsidP="000B0C64">
      <w:pPr>
        <w:pStyle w:val="Default"/>
        <w:ind w:firstLine="567"/>
        <w:jc w:val="both"/>
        <w:rPr>
          <w:lang w:val="en-US"/>
        </w:rPr>
      </w:pPr>
      <w:r w:rsidRPr="00E27EED">
        <w:rPr>
          <w:lang w:val="en-US"/>
        </w:rPr>
        <w:t>The main objectives of the capital management system are</w:t>
      </w:r>
      <w:r w:rsidR="00860B9C">
        <w:rPr>
          <w:lang w:val="en-US"/>
        </w:rPr>
        <w:t xml:space="preserve"> as follows</w:t>
      </w:r>
      <w:r w:rsidRPr="00E27EED">
        <w:rPr>
          <w:lang w:val="en-US"/>
        </w:rPr>
        <w:t>:</w:t>
      </w:r>
    </w:p>
    <w:p w:rsidR="00A2266F" w:rsidRPr="00E27EED" w:rsidRDefault="00A2266F" w:rsidP="001C68BB">
      <w:pPr>
        <w:pStyle w:val="a9"/>
        <w:numPr>
          <w:ilvl w:val="0"/>
          <w:numId w:val="25"/>
        </w:numPr>
        <w:spacing w:after="0" w:line="240" w:lineRule="auto"/>
        <w:ind w:left="294" w:hanging="294"/>
        <w:jc w:val="both"/>
        <w:rPr>
          <w:rFonts w:ascii="Times New Roman" w:hAnsi="Times New Roman"/>
          <w:sz w:val="24"/>
          <w:lang w:val="en-US"/>
        </w:rPr>
      </w:pPr>
      <w:r w:rsidRPr="00E27EED">
        <w:rPr>
          <w:rFonts w:ascii="Times New Roman" w:hAnsi="Times New Roman"/>
          <w:sz w:val="24"/>
          <w:lang w:val="en-US"/>
        </w:rPr>
        <w:t>Strategic objective—to maintain the optimal level and structure of the Bank’s capital to ensure:</w:t>
      </w:r>
    </w:p>
    <w:p w:rsidR="00A2266F" w:rsidRPr="00E27EED" w:rsidRDefault="00860B9C" w:rsidP="001C68BB">
      <w:pPr>
        <w:pStyle w:val="a9"/>
        <w:numPr>
          <w:ilvl w:val="0"/>
          <w:numId w:val="26"/>
        </w:numPr>
        <w:spacing w:after="0" w:line="240" w:lineRule="auto"/>
        <w:ind w:left="993" w:hanging="284"/>
        <w:jc w:val="both"/>
        <w:rPr>
          <w:rFonts w:ascii="Times New Roman" w:hAnsi="Times New Roman"/>
          <w:sz w:val="24"/>
          <w:lang w:val="en-US"/>
        </w:rPr>
      </w:pPr>
      <w:r>
        <w:rPr>
          <w:rFonts w:ascii="Times New Roman" w:hAnsi="Times New Roman"/>
          <w:sz w:val="24"/>
          <w:lang w:val="en-US"/>
        </w:rPr>
        <w:t>T</w:t>
      </w:r>
      <w:r w:rsidR="00A2266F" w:rsidRPr="00E27EED">
        <w:rPr>
          <w:rFonts w:ascii="Times New Roman" w:hAnsi="Times New Roman"/>
          <w:sz w:val="24"/>
          <w:lang w:val="en-US"/>
        </w:rPr>
        <w:t xml:space="preserve">he Bank’s profit maximization; </w:t>
      </w:r>
    </w:p>
    <w:p w:rsidR="00A2266F" w:rsidRPr="00E27EED" w:rsidRDefault="00860B9C" w:rsidP="001C68BB">
      <w:pPr>
        <w:pStyle w:val="a9"/>
        <w:numPr>
          <w:ilvl w:val="0"/>
          <w:numId w:val="26"/>
        </w:numPr>
        <w:spacing w:after="0" w:line="240" w:lineRule="auto"/>
        <w:ind w:left="993" w:hanging="284"/>
        <w:jc w:val="both"/>
        <w:rPr>
          <w:rFonts w:ascii="Times New Roman" w:hAnsi="Times New Roman"/>
          <w:sz w:val="24"/>
          <w:lang w:val="en-US"/>
        </w:rPr>
      </w:pPr>
      <w:r>
        <w:rPr>
          <w:rFonts w:ascii="Times New Roman" w:hAnsi="Times New Roman"/>
          <w:sz w:val="24"/>
          <w:lang w:val="en-US"/>
        </w:rPr>
        <w:t>A</w:t>
      </w:r>
      <w:r w:rsidR="00A2266F" w:rsidRPr="00E27EED">
        <w:rPr>
          <w:rFonts w:ascii="Times New Roman" w:hAnsi="Times New Roman"/>
          <w:sz w:val="24"/>
          <w:lang w:val="en-US"/>
        </w:rPr>
        <w:t xml:space="preserve">lignment of equity with the level of risks assumed by the Bank and potential risks (risk appetite). </w:t>
      </w:r>
    </w:p>
    <w:p w:rsidR="00A2266F" w:rsidRPr="00E27EED" w:rsidRDefault="00A2266F" w:rsidP="001C68BB">
      <w:pPr>
        <w:pStyle w:val="a9"/>
        <w:numPr>
          <w:ilvl w:val="0"/>
          <w:numId w:val="25"/>
        </w:numPr>
        <w:spacing w:after="0" w:line="240" w:lineRule="auto"/>
        <w:ind w:left="294" w:hanging="294"/>
        <w:jc w:val="both"/>
        <w:rPr>
          <w:rFonts w:ascii="Times New Roman" w:hAnsi="Times New Roman"/>
          <w:sz w:val="24"/>
          <w:lang w:val="en-US"/>
        </w:rPr>
      </w:pPr>
      <w:r w:rsidRPr="00E27EED">
        <w:rPr>
          <w:rFonts w:ascii="Times New Roman" w:hAnsi="Times New Roman"/>
          <w:sz w:val="24"/>
          <w:lang w:val="en-US"/>
        </w:rPr>
        <w:t>Tactical objectives:</w:t>
      </w:r>
    </w:p>
    <w:p w:rsidR="00A2266F" w:rsidRPr="00E27EED" w:rsidRDefault="00860B9C" w:rsidP="001C68BB">
      <w:pPr>
        <w:pStyle w:val="a9"/>
        <w:numPr>
          <w:ilvl w:val="0"/>
          <w:numId w:val="27"/>
        </w:numPr>
        <w:spacing w:after="0" w:line="240" w:lineRule="auto"/>
        <w:ind w:left="993" w:hanging="284"/>
        <w:jc w:val="both"/>
        <w:rPr>
          <w:rFonts w:ascii="Times New Roman" w:hAnsi="Times New Roman"/>
          <w:sz w:val="24"/>
          <w:lang w:val="en-US"/>
        </w:rPr>
      </w:pPr>
      <w:r>
        <w:rPr>
          <w:rFonts w:ascii="Times New Roman" w:hAnsi="Times New Roman"/>
          <w:sz w:val="24"/>
          <w:lang w:val="en-US"/>
        </w:rPr>
        <w:t>A</w:t>
      </w:r>
      <w:r w:rsidR="00A2266F" w:rsidRPr="00E27EED">
        <w:rPr>
          <w:rFonts w:ascii="Times New Roman" w:hAnsi="Times New Roman"/>
          <w:sz w:val="24"/>
          <w:lang w:val="en-US"/>
        </w:rPr>
        <w:t xml:space="preserve"> sufficient level of capital to fulfill the Bank’s strategic development objectives;</w:t>
      </w:r>
    </w:p>
    <w:p w:rsidR="00A2266F" w:rsidRPr="00E27EED" w:rsidRDefault="00860B9C" w:rsidP="001C68BB">
      <w:pPr>
        <w:pStyle w:val="a9"/>
        <w:numPr>
          <w:ilvl w:val="0"/>
          <w:numId w:val="27"/>
        </w:numPr>
        <w:spacing w:after="0" w:line="240" w:lineRule="auto"/>
        <w:ind w:left="993" w:hanging="284"/>
        <w:jc w:val="both"/>
        <w:rPr>
          <w:rFonts w:ascii="Times New Roman" w:hAnsi="Times New Roman"/>
          <w:sz w:val="24"/>
          <w:lang w:val="en-US"/>
        </w:rPr>
      </w:pPr>
      <w:r>
        <w:rPr>
          <w:rFonts w:ascii="Times New Roman" w:hAnsi="Times New Roman"/>
          <w:sz w:val="24"/>
          <w:lang w:val="en-US"/>
        </w:rPr>
        <w:t>C</w:t>
      </w:r>
      <w:r w:rsidR="00A2266F" w:rsidRPr="00E27EED">
        <w:rPr>
          <w:rFonts w:ascii="Times New Roman" w:hAnsi="Times New Roman"/>
          <w:sz w:val="24"/>
          <w:lang w:val="en-US"/>
        </w:rPr>
        <w:t>ompliance with the requirements of the authorized government agency regarding the Bank’s capital adequacy ratios;</w:t>
      </w:r>
    </w:p>
    <w:p w:rsidR="00A2266F" w:rsidRPr="00E27EED" w:rsidRDefault="00860B9C" w:rsidP="001C68BB">
      <w:pPr>
        <w:pStyle w:val="a9"/>
        <w:numPr>
          <w:ilvl w:val="0"/>
          <w:numId w:val="27"/>
        </w:numPr>
        <w:spacing w:after="0" w:line="240" w:lineRule="auto"/>
        <w:ind w:left="993" w:hanging="284"/>
        <w:jc w:val="both"/>
        <w:rPr>
          <w:rFonts w:ascii="Times New Roman" w:hAnsi="Times New Roman"/>
          <w:sz w:val="24"/>
          <w:lang w:val="en-US"/>
        </w:rPr>
      </w:pPr>
      <w:r>
        <w:rPr>
          <w:rFonts w:ascii="Times New Roman" w:hAnsi="Times New Roman"/>
          <w:sz w:val="24"/>
          <w:lang w:val="en-US"/>
        </w:rPr>
        <w:t>C</w:t>
      </w:r>
      <w:r w:rsidR="00A2266F" w:rsidRPr="00E27EED">
        <w:rPr>
          <w:rFonts w:ascii="Times New Roman" w:hAnsi="Times New Roman"/>
          <w:sz w:val="24"/>
          <w:lang w:val="en-US"/>
        </w:rPr>
        <w:t>ompliance with triggers for the write-off of subordinated loans.</w:t>
      </w:r>
    </w:p>
    <w:p w:rsidR="00A2266F" w:rsidRPr="00E27EED" w:rsidRDefault="00A2266F" w:rsidP="000B0C64">
      <w:pPr>
        <w:pStyle w:val="Default"/>
        <w:ind w:firstLine="567"/>
        <w:jc w:val="both"/>
        <w:rPr>
          <w:lang w:val="en-US"/>
        </w:rPr>
      </w:pPr>
      <w:r w:rsidRPr="00E27EED">
        <w:rPr>
          <w:lang w:val="en-US"/>
        </w:rPr>
        <w:t>Key Principles of Capital Management:</w:t>
      </w:r>
    </w:p>
    <w:p w:rsidR="00A2266F" w:rsidRPr="00E27EED" w:rsidRDefault="00860B9C" w:rsidP="001C68BB">
      <w:pPr>
        <w:pStyle w:val="a9"/>
        <w:numPr>
          <w:ilvl w:val="0"/>
          <w:numId w:val="28"/>
        </w:numPr>
        <w:spacing w:after="0" w:line="240" w:lineRule="auto"/>
        <w:ind w:left="294" w:hanging="294"/>
        <w:jc w:val="both"/>
        <w:rPr>
          <w:rFonts w:ascii="Times New Roman" w:hAnsi="Times New Roman"/>
          <w:sz w:val="24"/>
          <w:lang w:val="en-US"/>
        </w:rPr>
      </w:pPr>
      <w:r>
        <w:rPr>
          <w:rFonts w:ascii="Times New Roman" w:hAnsi="Times New Roman"/>
          <w:sz w:val="24"/>
          <w:lang w:val="en-US"/>
        </w:rPr>
        <w:lastRenderedPageBreak/>
        <w:t>C</w:t>
      </w:r>
      <w:r w:rsidR="00A2266F" w:rsidRPr="00E27EED">
        <w:rPr>
          <w:rFonts w:ascii="Times New Roman" w:hAnsi="Times New Roman"/>
          <w:sz w:val="24"/>
          <w:lang w:val="en-US"/>
        </w:rPr>
        <w:t>entralized capital management (determining capital needs, pooling capital sources by the Bank, and reallocating capital within the Bank);</w:t>
      </w:r>
    </w:p>
    <w:p w:rsidR="00A2266F" w:rsidRPr="00E27EED" w:rsidRDefault="00860B9C" w:rsidP="001C68BB">
      <w:pPr>
        <w:pStyle w:val="a9"/>
        <w:numPr>
          <w:ilvl w:val="0"/>
          <w:numId w:val="28"/>
        </w:numPr>
        <w:spacing w:after="0" w:line="240" w:lineRule="auto"/>
        <w:ind w:left="294" w:hanging="294"/>
        <w:jc w:val="both"/>
        <w:rPr>
          <w:rFonts w:ascii="Times New Roman" w:hAnsi="Times New Roman"/>
          <w:sz w:val="24"/>
          <w:lang w:val="en-US"/>
        </w:rPr>
      </w:pPr>
      <w:r>
        <w:rPr>
          <w:rFonts w:ascii="Times New Roman" w:hAnsi="Times New Roman"/>
          <w:sz w:val="24"/>
          <w:lang w:val="en-US"/>
        </w:rPr>
        <w:t>A</w:t>
      </w:r>
      <w:r w:rsidR="00A2266F" w:rsidRPr="00E27EED">
        <w:rPr>
          <w:rFonts w:ascii="Times New Roman" w:hAnsi="Times New Roman"/>
          <w:sz w:val="24"/>
          <w:lang w:val="en-US"/>
        </w:rPr>
        <w:t xml:space="preserve"> scenario-based approach to developing and selecting solutions (preparing specific manag</w:t>
      </w:r>
      <w:r>
        <w:rPr>
          <w:rFonts w:ascii="Times New Roman" w:hAnsi="Times New Roman"/>
          <w:sz w:val="24"/>
          <w:lang w:val="en-US"/>
        </w:rPr>
        <w:t>erial</w:t>
      </w:r>
      <w:r w:rsidR="00A2266F" w:rsidRPr="00E27EED">
        <w:rPr>
          <w:rFonts w:ascii="Times New Roman" w:hAnsi="Times New Roman"/>
          <w:sz w:val="24"/>
          <w:lang w:val="en-US"/>
        </w:rPr>
        <w:t xml:space="preserve"> decisions while considering alternative options regarding sources and forms of raising additional capital and the target capital structure).</w:t>
      </w:r>
    </w:p>
    <w:p w:rsidR="00A2266F" w:rsidRPr="00E27EED" w:rsidRDefault="00A2266F" w:rsidP="000B0C64">
      <w:pPr>
        <w:pStyle w:val="Default"/>
        <w:ind w:firstLine="567"/>
        <w:jc w:val="both"/>
        <w:rPr>
          <w:lang w:val="en-US"/>
        </w:rPr>
      </w:pPr>
      <w:r w:rsidRPr="00E27EED">
        <w:rPr>
          <w:lang w:val="en-US"/>
        </w:rPr>
        <w:t>Capital management at the Bank is carried out in accordance with the recommendations of the Basel Committee on Banking Supervision, regulatory acts of authorized government agencies, and the Group’s requirements.</w:t>
      </w:r>
    </w:p>
    <w:p w:rsidR="00A2266F" w:rsidRPr="00E27EED" w:rsidRDefault="00A2266F" w:rsidP="000B0C64">
      <w:pPr>
        <w:tabs>
          <w:tab w:val="left" w:pos="426"/>
        </w:tabs>
        <w:spacing w:after="0" w:line="240" w:lineRule="auto"/>
        <w:ind w:firstLine="567"/>
        <w:jc w:val="both"/>
        <w:rPr>
          <w:rFonts w:ascii="Times New Roman" w:hAnsi="Times New Roman"/>
          <w:sz w:val="24"/>
          <w:lang w:val="en-US"/>
        </w:rPr>
      </w:pPr>
      <w:r w:rsidRPr="00E27EED">
        <w:rPr>
          <w:rFonts w:ascii="Times New Roman" w:hAnsi="Times New Roman"/>
          <w:sz w:val="24"/>
          <w:lang w:val="en-US"/>
        </w:rPr>
        <w:t>The Bank ensures that it has sufficient capital to cover credit, market, and operational risks in accordance with the regulatory acts of authorized government agencies and the Group’s requirements.</w:t>
      </w:r>
    </w:p>
    <w:p w:rsidR="00A2266F" w:rsidRPr="00E27EED" w:rsidRDefault="00A2266F" w:rsidP="000B0C64">
      <w:pPr>
        <w:pStyle w:val="Default"/>
        <w:ind w:firstLine="567"/>
        <w:jc w:val="both"/>
        <w:rPr>
          <w:lang w:val="en-US"/>
        </w:rPr>
      </w:pPr>
      <w:r w:rsidRPr="00E27EED">
        <w:rPr>
          <w:lang w:val="en-US"/>
        </w:rPr>
        <w:t xml:space="preserve">The main approaches for further improving the Bank’s internal procedures for assessing capital adequacy are </w:t>
      </w:r>
      <w:r w:rsidR="00860B9C">
        <w:rPr>
          <w:lang w:val="en-US"/>
        </w:rPr>
        <w:t xml:space="preserve">contemplated </w:t>
      </w:r>
      <w:r w:rsidRPr="00E27EED">
        <w:rPr>
          <w:lang w:val="en-US"/>
        </w:rPr>
        <w:t>in the strategic initiatives for developing the Bank’s and the Group’s risk management systems.</w:t>
      </w:r>
    </w:p>
    <w:p w:rsidR="00A2266F" w:rsidRPr="00E27EED" w:rsidRDefault="00A2266F" w:rsidP="000B0C64">
      <w:pPr>
        <w:pStyle w:val="2"/>
        <w:numPr>
          <w:ilvl w:val="0"/>
          <w:numId w:val="0"/>
        </w:numPr>
        <w:spacing w:before="0"/>
        <w:ind w:firstLine="567"/>
        <w:rPr>
          <w:szCs w:val="28"/>
          <w:lang w:val="en-US"/>
        </w:rPr>
      </w:pPr>
      <w:r w:rsidRPr="00E27EED">
        <w:rPr>
          <w:szCs w:val="28"/>
          <w:lang w:val="en-US"/>
        </w:rPr>
        <w:t xml:space="preserve">The Bank treats the mandatory capital adequacy ratios established by </w:t>
      </w:r>
      <w:r w:rsidR="00B81528" w:rsidRPr="00E27EED">
        <w:rPr>
          <w:szCs w:val="28"/>
          <w:lang w:val="en-US"/>
        </w:rPr>
        <w:t xml:space="preserve">the authorized government agency </w:t>
      </w:r>
      <w:r w:rsidRPr="00E27EED">
        <w:rPr>
          <w:szCs w:val="28"/>
          <w:lang w:val="en-US"/>
        </w:rPr>
        <w:t>as a top priority.</w:t>
      </w:r>
    </w:p>
    <w:p w:rsidR="00A2266F" w:rsidRPr="00E27EED" w:rsidRDefault="00A2266F" w:rsidP="000B0C64">
      <w:pPr>
        <w:pStyle w:val="2"/>
        <w:numPr>
          <w:ilvl w:val="0"/>
          <w:numId w:val="0"/>
        </w:numPr>
        <w:spacing w:before="0"/>
        <w:ind w:firstLine="567"/>
        <w:rPr>
          <w:szCs w:val="28"/>
          <w:lang w:val="en-US"/>
        </w:rPr>
      </w:pPr>
      <w:r w:rsidRPr="00E27EED">
        <w:rPr>
          <w:szCs w:val="28"/>
          <w:lang w:val="en-US"/>
        </w:rPr>
        <w:t xml:space="preserve">In addition to these, the Bank calculates capital to cover material types of risk for internal purposes and for the preparation of financial statements in accordance with International Financial Reporting Standards (IFRS). </w:t>
      </w:r>
    </w:p>
    <w:p w:rsidR="00A2266F" w:rsidRPr="00E27EED" w:rsidRDefault="00A2266F" w:rsidP="000B0C64">
      <w:pPr>
        <w:pStyle w:val="2"/>
        <w:numPr>
          <w:ilvl w:val="0"/>
          <w:numId w:val="0"/>
        </w:numPr>
        <w:spacing w:before="0"/>
        <w:ind w:firstLine="567"/>
        <w:contextualSpacing/>
        <w:rPr>
          <w:szCs w:val="28"/>
          <w:lang w:val="en-US"/>
        </w:rPr>
      </w:pPr>
      <w:r w:rsidRPr="00E27EED">
        <w:rPr>
          <w:szCs w:val="28"/>
          <w:lang w:val="en-US"/>
        </w:rPr>
        <w:t>The internal assessment of capital adequacy to cover all relevant types of risks (identified within the framework of the I</w:t>
      </w:r>
      <w:r w:rsidR="009D68BF">
        <w:rPr>
          <w:szCs w:val="28"/>
          <w:lang w:val="en-US"/>
        </w:rPr>
        <w:t>CAAP)</w:t>
      </w:r>
      <w:r w:rsidRPr="00E27EED">
        <w:rPr>
          <w:szCs w:val="28"/>
          <w:lang w:val="en-US"/>
        </w:rPr>
        <w:t xml:space="preserve"> inherent to the Bank is carried out by determining economic capital and comparing it with the Bank’s available (regulatory) capital. The corresponding indicator is included in the Bank’s risk appetite metrics.</w:t>
      </w:r>
    </w:p>
    <w:p w:rsidR="00A2266F" w:rsidRPr="00E27EED" w:rsidRDefault="009D68BF" w:rsidP="000B0C64">
      <w:pPr>
        <w:pStyle w:val="Default"/>
        <w:ind w:firstLine="567"/>
        <w:contextualSpacing/>
        <w:jc w:val="both"/>
        <w:rPr>
          <w:lang w:val="en-US"/>
        </w:rPr>
      </w:pPr>
      <w:r>
        <w:rPr>
          <w:lang w:val="en-US"/>
        </w:rPr>
        <w:t>Within the framework of</w:t>
      </w:r>
      <w:r w:rsidR="00A2266F" w:rsidRPr="00E27EED">
        <w:rPr>
          <w:lang w:val="en-US"/>
        </w:rPr>
        <w:t xml:space="preserve"> monitoring compliance with the control values of risk appetite indicators and ensuring capital adequacy, the Bank’s Board of Directors makes decisions: </w:t>
      </w:r>
    </w:p>
    <w:p w:rsidR="00A2266F" w:rsidRPr="00E27EED" w:rsidRDefault="009D68BF" w:rsidP="001C68BB">
      <w:pPr>
        <w:pStyle w:val="a9"/>
        <w:numPr>
          <w:ilvl w:val="0"/>
          <w:numId w:val="29"/>
        </w:numPr>
        <w:spacing w:after="0" w:line="240" w:lineRule="auto"/>
        <w:ind w:left="709" w:hanging="294"/>
        <w:jc w:val="both"/>
        <w:rPr>
          <w:rFonts w:ascii="Times New Roman" w:hAnsi="Times New Roman"/>
          <w:sz w:val="24"/>
          <w:lang w:val="en-US"/>
        </w:rPr>
      </w:pPr>
      <w:r>
        <w:rPr>
          <w:rFonts w:ascii="Times New Roman" w:hAnsi="Times New Roman"/>
          <w:sz w:val="24"/>
          <w:lang w:val="en-US"/>
        </w:rPr>
        <w:t>T</w:t>
      </w:r>
      <w:r w:rsidR="00A2266F" w:rsidRPr="00E27EED">
        <w:rPr>
          <w:rFonts w:ascii="Times New Roman" w:hAnsi="Times New Roman"/>
          <w:sz w:val="24"/>
          <w:lang w:val="en-US"/>
        </w:rPr>
        <w:t>o reduce the level of risks (by implementing additional risk mitigation measures) assumed by the Bank;</w:t>
      </w:r>
    </w:p>
    <w:p w:rsidR="00A2266F" w:rsidRPr="00E27EED" w:rsidRDefault="009D68BF" w:rsidP="001C68BB">
      <w:pPr>
        <w:pStyle w:val="a9"/>
        <w:numPr>
          <w:ilvl w:val="0"/>
          <w:numId w:val="29"/>
        </w:numPr>
        <w:spacing w:after="0" w:line="240" w:lineRule="auto"/>
        <w:ind w:left="709" w:hanging="294"/>
        <w:jc w:val="both"/>
        <w:rPr>
          <w:rFonts w:ascii="Times New Roman" w:hAnsi="Times New Roman"/>
          <w:sz w:val="24"/>
          <w:lang w:val="en-US"/>
        </w:rPr>
      </w:pPr>
      <w:r>
        <w:rPr>
          <w:rFonts w:ascii="Times New Roman" w:hAnsi="Times New Roman"/>
          <w:sz w:val="24"/>
          <w:lang w:val="en-US"/>
        </w:rPr>
        <w:t>T</w:t>
      </w:r>
      <w:r w:rsidR="00A2266F" w:rsidRPr="00E27EED">
        <w:rPr>
          <w:rFonts w:ascii="Times New Roman" w:hAnsi="Times New Roman"/>
          <w:sz w:val="24"/>
          <w:lang w:val="en-US"/>
        </w:rPr>
        <w:t>o change the structure of the Bank’s assets (primarily with regard to investments in shares/equity interests) to improve capital efficiency;</w:t>
      </w:r>
    </w:p>
    <w:p w:rsidR="00A2266F" w:rsidRPr="00E27EED" w:rsidRDefault="009D68BF" w:rsidP="001C68BB">
      <w:pPr>
        <w:pStyle w:val="a9"/>
        <w:numPr>
          <w:ilvl w:val="0"/>
          <w:numId w:val="29"/>
        </w:numPr>
        <w:spacing w:after="0" w:line="240" w:lineRule="auto"/>
        <w:ind w:left="709" w:hanging="294"/>
        <w:jc w:val="both"/>
        <w:rPr>
          <w:rFonts w:ascii="Times New Roman" w:hAnsi="Times New Roman"/>
          <w:sz w:val="24"/>
          <w:lang w:val="en-US"/>
        </w:rPr>
      </w:pPr>
      <w:r>
        <w:rPr>
          <w:rFonts w:ascii="Times New Roman" w:hAnsi="Times New Roman"/>
          <w:sz w:val="24"/>
          <w:lang w:val="en-US"/>
        </w:rPr>
        <w:t>O</w:t>
      </w:r>
      <w:r w:rsidR="00A2266F" w:rsidRPr="00E27EED">
        <w:rPr>
          <w:rFonts w:ascii="Times New Roman" w:hAnsi="Times New Roman"/>
          <w:sz w:val="24"/>
          <w:lang w:val="en-US"/>
        </w:rPr>
        <w:t>n the need to increase (or adjust the structure of) the Bank’s capital.</w:t>
      </w:r>
    </w:p>
    <w:p w:rsidR="00A2266F" w:rsidRPr="00E27EED" w:rsidRDefault="00A2266F" w:rsidP="000B0C64">
      <w:pPr>
        <w:pStyle w:val="Default"/>
        <w:ind w:firstLine="709"/>
        <w:jc w:val="both"/>
        <w:rPr>
          <w:lang w:val="en-US"/>
        </w:rPr>
      </w:pPr>
      <w:r w:rsidRPr="00E27EED">
        <w:rPr>
          <w:lang w:val="en-US"/>
        </w:rPr>
        <w:t>Planned (Target) Capital Level and Structure.</w:t>
      </w:r>
    </w:p>
    <w:p w:rsidR="00A2266F" w:rsidRPr="00E27EED" w:rsidRDefault="00A2266F" w:rsidP="000B0C64">
      <w:pPr>
        <w:pStyle w:val="Default"/>
        <w:ind w:firstLine="709"/>
        <w:jc w:val="both"/>
        <w:rPr>
          <w:lang w:val="en-US"/>
        </w:rPr>
      </w:pPr>
      <w:r w:rsidRPr="00E27EED">
        <w:rPr>
          <w:lang w:val="en-US"/>
        </w:rPr>
        <w:t xml:space="preserve">The planned (target) capital level is determined based on the planned volume and structure of assets, risk appetite indicators, and planned (target) capital adequacy ratios developed </w:t>
      </w:r>
      <w:r w:rsidR="009D68BF">
        <w:rPr>
          <w:lang w:val="en-US"/>
        </w:rPr>
        <w:t xml:space="preserve">within the framework </w:t>
      </w:r>
      <w:r w:rsidRPr="00E27EED">
        <w:rPr>
          <w:lang w:val="en-US"/>
        </w:rPr>
        <w:t xml:space="preserve">of the annual business planning process. The planned (target) capital adequacy ratios are approved by a resolution of the Bank’s </w:t>
      </w:r>
      <w:r w:rsidR="009D68BF">
        <w:rPr>
          <w:lang w:val="en-US"/>
        </w:rPr>
        <w:t xml:space="preserve">RMC </w:t>
      </w:r>
      <w:r w:rsidRPr="00E27EED">
        <w:rPr>
          <w:lang w:val="en-US"/>
        </w:rPr>
        <w:t>and are revised as necessary.</w:t>
      </w:r>
    </w:p>
    <w:p w:rsidR="00A2266F" w:rsidRPr="00E27EED" w:rsidRDefault="00A2266F" w:rsidP="000B0C64">
      <w:pPr>
        <w:pStyle w:val="Default"/>
        <w:ind w:firstLine="709"/>
        <w:jc w:val="both"/>
        <w:rPr>
          <w:lang w:val="en-US"/>
        </w:rPr>
      </w:pPr>
      <w:r w:rsidRPr="00E27EED">
        <w:rPr>
          <w:lang w:val="en-US"/>
        </w:rPr>
        <w:t>The planned proportions of Tier 1 and Tier 2 capital in total equity (capital) are determined based on the internal maximum permissible values for mandatory capital adequacy ratios, as approved by a resolution of the Bank’s Management Board.</w:t>
      </w:r>
    </w:p>
    <w:p w:rsidR="00A2266F" w:rsidRPr="00E27EED" w:rsidRDefault="00A2266F" w:rsidP="000B0C64">
      <w:pPr>
        <w:pStyle w:val="Default"/>
        <w:ind w:firstLine="709"/>
        <w:jc w:val="both"/>
        <w:rPr>
          <w:lang w:val="en-US"/>
        </w:rPr>
      </w:pPr>
      <w:r w:rsidRPr="00E27EED">
        <w:rPr>
          <w:lang w:val="en-US"/>
        </w:rPr>
        <w:t xml:space="preserve">Methodology for Assessing Additional Sources of Capital. </w:t>
      </w:r>
    </w:p>
    <w:p w:rsidR="00A2266F" w:rsidRPr="00E27EED" w:rsidRDefault="009D68BF" w:rsidP="000B0C64">
      <w:pPr>
        <w:pStyle w:val="Default"/>
        <w:ind w:firstLine="709"/>
        <w:jc w:val="both"/>
        <w:rPr>
          <w:lang w:val="en-US"/>
        </w:rPr>
      </w:pPr>
      <w:r>
        <w:rPr>
          <w:lang w:val="en-US"/>
        </w:rPr>
        <w:t>Within the framework</w:t>
      </w:r>
      <w:r w:rsidR="00A2266F" w:rsidRPr="00E27EED">
        <w:rPr>
          <w:lang w:val="en-US"/>
        </w:rPr>
        <w:t xml:space="preserve"> of capital monitoring and planning, the total amount of capital required to comply with the maximum permissible values of mandatory ratios is compared with the amount of capital available to the Bank. The sources of available capital include the following:</w:t>
      </w:r>
    </w:p>
    <w:p w:rsidR="00A2266F" w:rsidRPr="00E27EED" w:rsidRDefault="009D68BF" w:rsidP="001C68BB">
      <w:pPr>
        <w:pStyle w:val="a9"/>
        <w:numPr>
          <w:ilvl w:val="0"/>
          <w:numId w:val="30"/>
        </w:numPr>
        <w:spacing w:after="0" w:line="240" w:lineRule="auto"/>
        <w:ind w:left="709" w:hanging="283"/>
        <w:jc w:val="both"/>
        <w:rPr>
          <w:rFonts w:ascii="Times New Roman" w:hAnsi="Times New Roman"/>
          <w:sz w:val="24"/>
          <w:lang w:val="en-US"/>
        </w:rPr>
      </w:pPr>
      <w:r>
        <w:rPr>
          <w:rFonts w:ascii="Times New Roman" w:hAnsi="Times New Roman"/>
          <w:sz w:val="24"/>
          <w:lang w:val="en-US"/>
        </w:rPr>
        <w:t>P</w:t>
      </w:r>
      <w:r w:rsidR="00A2266F" w:rsidRPr="00E27EED">
        <w:rPr>
          <w:rFonts w:ascii="Times New Roman" w:hAnsi="Times New Roman"/>
          <w:sz w:val="24"/>
          <w:lang w:val="en-US"/>
        </w:rPr>
        <w:t>rojected income</w:t>
      </w:r>
      <w:r>
        <w:rPr>
          <w:rFonts w:ascii="Times New Roman" w:hAnsi="Times New Roman"/>
          <w:sz w:val="24"/>
          <w:lang w:val="en-US"/>
        </w:rPr>
        <w:t>s</w:t>
      </w:r>
      <w:r w:rsidR="00A2266F" w:rsidRPr="00E27EED">
        <w:rPr>
          <w:rFonts w:ascii="Times New Roman" w:hAnsi="Times New Roman"/>
          <w:sz w:val="24"/>
          <w:lang w:val="en-US"/>
        </w:rPr>
        <w:t xml:space="preserve"> (adjusted for projected expenses);</w:t>
      </w:r>
    </w:p>
    <w:p w:rsidR="00A2266F" w:rsidRPr="00E27EED" w:rsidRDefault="009D68BF" w:rsidP="001C68BB">
      <w:pPr>
        <w:pStyle w:val="a9"/>
        <w:numPr>
          <w:ilvl w:val="0"/>
          <w:numId w:val="30"/>
        </w:numPr>
        <w:spacing w:after="0" w:line="240" w:lineRule="auto"/>
        <w:ind w:left="709" w:hanging="283"/>
        <w:jc w:val="both"/>
        <w:rPr>
          <w:rFonts w:ascii="Times New Roman" w:hAnsi="Times New Roman"/>
          <w:sz w:val="24"/>
          <w:lang w:val="en-US"/>
        </w:rPr>
      </w:pPr>
      <w:r>
        <w:rPr>
          <w:rFonts w:ascii="Times New Roman" w:hAnsi="Times New Roman"/>
          <w:sz w:val="24"/>
          <w:lang w:val="en-US"/>
        </w:rPr>
        <w:t>U</w:t>
      </w:r>
      <w:r w:rsidR="00A2266F" w:rsidRPr="00E27EED">
        <w:rPr>
          <w:rFonts w:ascii="Times New Roman" w:hAnsi="Times New Roman"/>
          <w:sz w:val="24"/>
          <w:lang w:val="en-US"/>
        </w:rPr>
        <w:t xml:space="preserve">nrealized </w:t>
      </w:r>
      <w:r>
        <w:rPr>
          <w:rFonts w:ascii="Times New Roman" w:hAnsi="Times New Roman"/>
          <w:sz w:val="24"/>
          <w:lang w:val="en-US"/>
        </w:rPr>
        <w:t>incomes</w:t>
      </w:r>
      <w:r w:rsidR="00A2266F" w:rsidRPr="00E27EED">
        <w:rPr>
          <w:rFonts w:ascii="Times New Roman" w:hAnsi="Times New Roman"/>
          <w:sz w:val="24"/>
          <w:lang w:val="en-US"/>
        </w:rPr>
        <w:t xml:space="preserve"> (adjusted for unrealized expenses) related to assets (liabilities) </w:t>
      </w:r>
      <w:r w:rsidRPr="009D68BF">
        <w:rPr>
          <w:rFonts w:ascii="Times New Roman" w:hAnsi="Times New Roman"/>
          <w:sz w:val="24"/>
          <w:lang w:val="en-US"/>
        </w:rPr>
        <w:t>measured in the accounting records at other than fair value</w:t>
      </w:r>
      <w:r w:rsidR="00A2266F" w:rsidRPr="00E27EED">
        <w:rPr>
          <w:rFonts w:ascii="Times New Roman" w:hAnsi="Times New Roman"/>
          <w:sz w:val="24"/>
          <w:lang w:val="en-US"/>
        </w:rPr>
        <w:t>;</w:t>
      </w:r>
    </w:p>
    <w:p w:rsidR="00A2266F" w:rsidRPr="00E27EED" w:rsidRDefault="009D68BF" w:rsidP="001C68BB">
      <w:pPr>
        <w:pStyle w:val="a9"/>
        <w:numPr>
          <w:ilvl w:val="0"/>
          <w:numId w:val="30"/>
        </w:numPr>
        <w:spacing w:after="0" w:line="240" w:lineRule="auto"/>
        <w:ind w:left="709" w:hanging="283"/>
        <w:jc w:val="both"/>
        <w:rPr>
          <w:rFonts w:ascii="Times New Roman" w:hAnsi="Times New Roman"/>
          <w:sz w:val="24"/>
          <w:lang w:val="en-US"/>
        </w:rPr>
      </w:pPr>
      <w:r>
        <w:rPr>
          <w:rFonts w:ascii="Times New Roman" w:hAnsi="Times New Roman"/>
          <w:sz w:val="24"/>
          <w:lang w:val="en-US"/>
        </w:rPr>
        <w:t>T</w:t>
      </w:r>
      <w:r w:rsidR="00A2266F" w:rsidRPr="00E27EED">
        <w:rPr>
          <w:rFonts w:ascii="Times New Roman" w:hAnsi="Times New Roman"/>
          <w:sz w:val="24"/>
          <w:lang w:val="en-US"/>
        </w:rPr>
        <w:t>he positive difference between the amount of the provision(s) established and the amount of expected losses calculated by the Bank;</w:t>
      </w:r>
    </w:p>
    <w:p w:rsidR="00A2266F" w:rsidRPr="00E27EED" w:rsidRDefault="009D68BF" w:rsidP="001C68BB">
      <w:pPr>
        <w:pStyle w:val="a9"/>
        <w:numPr>
          <w:ilvl w:val="0"/>
          <w:numId w:val="30"/>
        </w:numPr>
        <w:spacing w:after="0" w:line="240" w:lineRule="auto"/>
        <w:ind w:left="709" w:hanging="283"/>
        <w:jc w:val="both"/>
        <w:rPr>
          <w:rFonts w:ascii="Times New Roman" w:hAnsi="Times New Roman"/>
          <w:sz w:val="24"/>
          <w:lang w:val="en-US"/>
        </w:rPr>
      </w:pPr>
      <w:r>
        <w:rPr>
          <w:rFonts w:ascii="Times New Roman" w:hAnsi="Times New Roman"/>
          <w:sz w:val="24"/>
          <w:lang w:val="en-US"/>
        </w:rPr>
        <w:t>O</w:t>
      </w:r>
      <w:r w:rsidR="00A2266F" w:rsidRPr="00E27EED">
        <w:rPr>
          <w:rFonts w:ascii="Times New Roman" w:hAnsi="Times New Roman"/>
          <w:sz w:val="24"/>
          <w:lang w:val="en-US"/>
        </w:rPr>
        <w:t>ther sources available to cover losses arising from the realization of risks.</w:t>
      </w:r>
    </w:p>
    <w:p w:rsidR="00A2266F" w:rsidRPr="00E27EED" w:rsidRDefault="00A2266F" w:rsidP="000B0C64">
      <w:pPr>
        <w:spacing w:after="0" w:line="240" w:lineRule="auto"/>
        <w:ind w:firstLine="709"/>
        <w:jc w:val="both"/>
        <w:rPr>
          <w:rFonts w:ascii="Times New Roman" w:hAnsi="Times New Roman"/>
          <w:sz w:val="24"/>
          <w:szCs w:val="28"/>
          <w:lang w:val="en-US"/>
        </w:rPr>
      </w:pPr>
      <w:r w:rsidRPr="00E27EED">
        <w:rPr>
          <w:rFonts w:ascii="Times New Roman" w:hAnsi="Times New Roman"/>
          <w:sz w:val="24"/>
          <w:szCs w:val="28"/>
          <w:lang w:val="en-US"/>
        </w:rPr>
        <w:t>The Bank employs a centralized regulatory capital management system, which involves making manage</w:t>
      </w:r>
      <w:r w:rsidR="009D68BF">
        <w:rPr>
          <w:rFonts w:ascii="Times New Roman" w:hAnsi="Times New Roman"/>
          <w:sz w:val="24"/>
          <w:szCs w:val="28"/>
          <w:lang w:val="en-US"/>
        </w:rPr>
        <w:t xml:space="preserve">rial </w:t>
      </w:r>
      <w:r w:rsidRPr="00E27EED">
        <w:rPr>
          <w:rFonts w:ascii="Times New Roman" w:hAnsi="Times New Roman"/>
          <w:sz w:val="24"/>
          <w:szCs w:val="28"/>
          <w:lang w:val="en-US"/>
        </w:rPr>
        <w:t>decisions related to optimizing the capital burden (risk management), improving the efficiency of capital utilization, raising (mobilizing) sources of capi</w:t>
      </w:r>
      <w:r w:rsidR="00F97CF7">
        <w:rPr>
          <w:rFonts w:ascii="Times New Roman" w:hAnsi="Times New Roman"/>
          <w:sz w:val="24"/>
          <w:szCs w:val="28"/>
          <w:lang w:val="en-US"/>
        </w:rPr>
        <w:t>tal, and managing its structure,</w:t>
      </w:r>
      <w:r w:rsidRPr="00E27EED">
        <w:rPr>
          <w:rFonts w:ascii="Times New Roman" w:hAnsi="Times New Roman"/>
          <w:sz w:val="24"/>
          <w:szCs w:val="28"/>
          <w:lang w:val="en-US"/>
        </w:rPr>
        <w:t xml:space="preserve"> as well as accountability for the quality and results of capital utilization.</w:t>
      </w:r>
    </w:p>
    <w:p w:rsidR="00A2266F" w:rsidRPr="00E27EED" w:rsidRDefault="00A2266F" w:rsidP="000B0C64">
      <w:pPr>
        <w:spacing w:after="0" w:line="240" w:lineRule="auto"/>
        <w:ind w:firstLine="709"/>
        <w:jc w:val="both"/>
        <w:rPr>
          <w:rFonts w:ascii="Times New Roman" w:hAnsi="Times New Roman"/>
          <w:sz w:val="24"/>
          <w:szCs w:val="28"/>
          <w:lang w:val="en-US"/>
        </w:rPr>
      </w:pPr>
      <w:r w:rsidRPr="00E27EED">
        <w:rPr>
          <w:rFonts w:ascii="Times New Roman" w:hAnsi="Times New Roman"/>
          <w:sz w:val="24"/>
          <w:szCs w:val="28"/>
          <w:lang w:val="en-US"/>
        </w:rPr>
        <w:lastRenderedPageBreak/>
        <w:t>The capital management system consists of the following elements:</w:t>
      </w:r>
    </w:p>
    <w:p w:rsidR="00A2266F" w:rsidRPr="00E27EED" w:rsidRDefault="009D68BF" w:rsidP="001C68BB">
      <w:pPr>
        <w:pStyle w:val="a9"/>
        <w:widowControl w:val="0"/>
        <w:numPr>
          <w:ilvl w:val="0"/>
          <w:numId w:val="32"/>
        </w:numPr>
        <w:spacing w:after="0" w:line="240" w:lineRule="auto"/>
        <w:ind w:left="709" w:hanging="283"/>
        <w:jc w:val="both"/>
        <w:rPr>
          <w:rFonts w:ascii="Times New Roman" w:hAnsi="Times New Roman"/>
          <w:sz w:val="24"/>
          <w:szCs w:val="28"/>
          <w:lang w:val="en-US"/>
        </w:rPr>
      </w:pPr>
      <w:r>
        <w:rPr>
          <w:rFonts w:ascii="Times New Roman" w:hAnsi="Times New Roman"/>
          <w:sz w:val="24"/>
          <w:szCs w:val="28"/>
          <w:lang w:val="en-US"/>
        </w:rPr>
        <w:t>S</w:t>
      </w:r>
      <w:r w:rsidR="00A2266F" w:rsidRPr="00E27EED">
        <w:rPr>
          <w:rFonts w:ascii="Times New Roman" w:hAnsi="Times New Roman"/>
          <w:sz w:val="24"/>
          <w:szCs w:val="28"/>
          <w:lang w:val="en-US"/>
        </w:rPr>
        <w:t>etting the planned (target) level/structure of capital and the planned (target) values of capital adequacy ratios;</w:t>
      </w:r>
    </w:p>
    <w:p w:rsidR="00A2266F" w:rsidRPr="00E27EED" w:rsidRDefault="009D68BF" w:rsidP="001C68BB">
      <w:pPr>
        <w:pStyle w:val="a9"/>
        <w:widowControl w:val="0"/>
        <w:numPr>
          <w:ilvl w:val="0"/>
          <w:numId w:val="32"/>
        </w:numPr>
        <w:spacing w:after="0" w:line="240" w:lineRule="auto"/>
        <w:ind w:left="709" w:hanging="283"/>
        <w:jc w:val="both"/>
        <w:rPr>
          <w:rFonts w:ascii="Times New Roman" w:hAnsi="Times New Roman"/>
          <w:sz w:val="24"/>
          <w:szCs w:val="28"/>
          <w:lang w:val="en-US"/>
        </w:rPr>
      </w:pPr>
      <w:r>
        <w:rPr>
          <w:rFonts w:ascii="Times New Roman" w:hAnsi="Times New Roman"/>
          <w:sz w:val="24"/>
          <w:szCs w:val="28"/>
          <w:lang w:val="en-US"/>
        </w:rPr>
        <w:t>M</w:t>
      </w:r>
      <w:r w:rsidR="00A2266F" w:rsidRPr="00E27EED">
        <w:rPr>
          <w:rFonts w:ascii="Times New Roman" w:hAnsi="Times New Roman"/>
          <w:sz w:val="24"/>
          <w:szCs w:val="28"/>
          <w:lang w:val="en-US"/>
        </w:rPr>
        <w:t>onitoring the amount of capital and the levels of capital adequacy ratios;</w:t>
      </w:r>
    </w:p>
    <w:p w:rsidR="00A2266F" w:rsidRPr="00E27EED" w:rsidRDefault="00852C01" w:rsidP="001C68BB">
      <w:pPr>
        <w:pStyle w:val="a9"/>
        <w:widowControl w:val="0"/>
        <w:numPr>
          <w:ilvl w:val="0"/>
          <w:numId w:val="32"/>
        </w:numPr>
        <w:spacing w:after="0" w:line="240" w:lineRule="auto"/>
        <w:ind w:left="709" w:hanging="283"/>
        <w:jc w:val="both"/>
        <w:rPr>
          <w:rFonts w:ascii="Times New Roman" w:hAnsi="Times New Roman"/>
          <w:sz w:val="24"/>
          <w:szCs w:val="28"/>
          <w:lang w:val="en-US"/>
        </w:rPr>
      </w:pPr>
      <w:r>
        <w:rPr>
          <w:rFonts w:ascii="Times New Roman" w:hAnsi="Times New Roman"/>
          <w:sz w:val="24"/>
          <w:szCs w:val="28"/>
          <w:lang w:val="en-US"/>
        </w:rPr>
        <w:t>Forecasting the amount of</w:t>
      </w:r>
      <w:r w:rsidR="00A2266F" w:rsidRPr="00E27EED">
        <w:rPr>
          <w:rFonts w:ascii="Times New Roman" w:hAnsi="Times New Roman"/>
          <w:sz w:val="24"/>
          <w:szCs w:val="28"/>
          <w:lang w:val="en-US"/>
        </w:rPr>
        <w:t xml:space="preserve"> capital and </w:t>
      </w:r>
      <w:r w:rsidR="00F97CF7">
        <w:rPr>
          <w:rFonts w:ascii="Times New Roman" w:hAnsi="Times New Roman"/>
          <w:sz w:val="24"/>
          <w:szCs w:val="28"/>
          <w:lang w:val="en-US"/>
        </w:rPr>
        <w:t xml:space="preserve">the </w:t>
      </w:r>
      <w:r>
        <w:rPr>
          <w:rFonts w:ascii="Times New Roman" w:hAnsi="Times New Roman"/>
          <w:sz w:val="24"/>
          <w:szCs w:val="28"/>
          <w:lang w:val="en-US"/>
        </w:rPr>
        <w:t xml:space="preserve">values of </w:t>
      </w:r>
      <w:r w:rsidR="00A2266F" w:rsidRPr="00E27EED">
        <w:rPr>
          <w:rFonts w:ascii="Times New Roman" w:hAnsi="Times New Roman"/>
          <w:sz w:val="24"/>
          <w:szCs w:val="28"/>
          <w:lang w:val="en-US"/>
        </w:rPr>
        <w:t>capital adequacy ratios;</w:t>
      </w:r>
    </w:p>
    <w:p w:rsidR="00A2266F" w:rsidRPr="00E27EED" w:rsidRDefault="009D68BF" w:rsidP="001C68BB">
      <w:pPr>
        <w:pStyle w:val="a9"/>
        <w:widowControl w:val="0"/>
        <w:numPr>
          <w:ilvl w:val="0"/>
          <w:numId w:val="32"/>
        </w:numPr>
        <w:spacing w:after="0" w:line="240" w:lineRule="auto"/>
        <w:ind w:left="709" w:hanging="283"/>
        <w:jc w:val="both"/>
        <w:rPr>
          <w:rFonts w:ascii="Times New Roman" w:hAnsi="Times New Roman"/>
          <w:sz w:val="24"/>
          <w:szCs w:val="28"/>
          <w:lang w:val="en-US"/>
        </w:rPr>
      </w:pPr>
      <w:r>
        <w:rPr>
          <w:rFonts w:ascii="Times New Roman" w:hAnsi="Times New Roman"/>
          <w:sz w:val="24"/>
          <w:szCs w:val="28"/>
          <w:lang w:val="en-US"/>
        </w:rPr>
        <w:t>C</w:t>
      </w:r>
      <w:r w:rsidR="00A2266F" w:rsidRPr="00E27EED">
        <w:rPr>
          <w:rFonts w:ascii="Times New Roman" w:hAnsi="Times New Roman"/>
          <w:sz w:val="24"/>
          <w:szCs w:val="28"/>
          <w:lang w:val="en-US"/>
        </w:rPr>
        <w:t>alculatin</w:t>
      </w:r>
      <w:r w:rsidR="00852C01">
        <w:rPr>
          <w:rFonts w:ascii="Times New Roman" w:hAnsi="Times New Roman"/>
          <w:sz w:val="24"/>
          <w:szCs w:val="28"/>
          <w:lang w:val="en-US"/>
        </w:rPr>
        <w:t>g</w:t>
      </w:r>
      <w:r w:rsidR="00A2266F" w:rsidRPr="00E27EED">
        <w:rPr>
          <w:rFonts w:ascii="Times New Roman" w:hAnsi="Times New Roman"/>
          <w:sz w:val="24"/>
          <w:szCs w:val="28"/>
          <w:lang w:val="en-US"/>
        </w:rPr>
        <w:t xml:space="preserve"> </w:t>
      </w:r>
      <w:r w:rsidR="00852C01">
        <w:rPr>
          <w:rFonts w:ascii="Times New Roman" w:hAnsi="Times New Roman"/>
          <w:sz w:val="24"/>
          <w:szCs w:val="28"/>
          <w:lang w:val="en-US"/>
        </w:rPr>
        <w:t xml:space="preserve">the amount of </w:t>
      </w:r>
      <w:r w:rsidR="00A2266F" w:rsidRPr="00E27EED">
        <w:rPr>
          <w:rFonts w:ascii="Times New Roman" w:hAnsi="Times New Roman"/>
          <w:sz w:val="24"/>
          <w:szCs w:val="28"/>
          <w:lang w:val="en-US"/>
        </w:rPr>
        <w:t xml:space="preserve">capital and </w:t>
      </w:r>
      <w:r w:rsidR="00F97CF7">
        <w:rPr>
          <w:rFonts w:ascii="Times New Roman" w:hAnsi="Times New Roman"/>
          <w:sz w:val="24"/>
          <w:szCs w:val="28"/>
          <w:lang w:val="en-US"/>
        </w:rPr>
        <w:t xml:space="preserve">the </w:t>
      </w:r>
      <w:r w:rsidR="00852C01">
        <w:rPr>
          <w:rFonts w:ascii="Times New Roman" w:hAnsi="Times New Roman"/>
          <w:sz w:val="24"/>
          <w:szCs w:val="28"/>
          <w:lang w:val="en-US"/>
        </w:rPr>
        <w:t xml:space="preserve">values of </w:t>
      </w:r>
      <w:r w:rsidR="00A2266F" w:rsidRPr="00E27EED">
        <w:rPr>
          <w:rFonts w:ascii="Times New Roman" w:hAnsi="Times New Roman"/>
          <w:sz w:val="24"/>
          <w:szCs w:val="28"/>
          <w:lang w:val="en-US"/>
        </w:rPr>
        <w:t>capital adequacy ratios as of the reporting date;</w:t>
      </w:r>
    </w:p>
    <w:p w:rsidR="00A2266F" w:rsidRPr="00E27EED" w:rsidRDefault="00852C01" w:rsidP="001C68BB">
      <w:pPr>
        <w:pStyle w:val="a9"/>
        <w:widowControl w:val="0"/>
        <w:numPr>
          <w:ilvl w:val="0"/>
          <w:numId w:val="32"/>
        </w:numPr>
        <w:spacing w:after="0" w:line="240" w:lineRule="auto"/>
        <w:ind w:left="709" w:hanging="283"/>
        <w:jc w:val="both"/>
        <w:rPr>
          <w:rFonts w:ascii="Times New Roman" w:hAnsi="Times New Roman"/>
          <w:sz w:val="24"/>
          <w:szCs w:val="28"/>
          <w:lang w:val="en-US"/>
        </w:rPr>
      </w:pPr>
      <w:r>
        <w:rPr>
          <w:rFonts w:ascii="Times New Roman" w:hAnsi="Times New Roman"/>
          <w:sz w:val="24"/>
          <w:szCs w:val="28"/>
          <w:lang w:val="en-US"/>
        </w:rPr>
        <w:t>P</w:t>
      </w:r>
      <w:r w:rsidR="00A2266F" w:rsidRPr="00E27EED">
        <w:rPr>
          <w:rFonts w:ascii="Times New Roman" w:hAnsi="Times New Roman"/>
          <w:sz w:val="24"/>
          <w:szCs w:val="28"/>
          <w:lang w:val="en-US"/>
        </w:rPr>
        <w:t>reliminary approval of transactions with regard to their impact on capital and capital adequacy ratios;</w:t>
      </w:r>
    </w:p>
    <w:p w:rsidR="00A2266F" w:rsidRPr="00E27EED" w:rsidRDefault="00852C01" w:rsidP="001C68BB">
      <w:pPr>
        <w:pStyle w:val="a9"/>
        <w:widowControl w:val="0"/>
        <w:numPr>
          <w:ilvl w:val="0"/>
          <w:numId w:val="32"/>
        </w:numPr>
        <w:spacing w:after="0" w:line="240" w:lineRule="auto"/>
        <w:ind w:left="709" w:hanging="283"/>
        <w:jc w:val="both"/>
        <w:rPr>
          <w:rFonts w:ascii="Times New Roman" w:hAnsi="Times New Roman"/>
          <w:sz w:val="24"/>
          <w:szCs w:val="28"/>
          <w:lang w:val="en-US"/>
        </w:rPr>
      </w:pPr>
      <w:r>
        <w:rPr>
          <w:rFonts w:ascii="Times New Roman" w:hAnsi="Times New Roman"/>
          <w:sz w:val="24"/>
          <w:szCs w:val="28"/>
          <w:lang w:val="en-US"/>
        </w:rPr>
        <w:t>P</w:t>
      </w:r>
      <w:r w:rsidR="00A2266F" w:rsidRPr="00E27EED">
        <w:rPr>
          <w:rFonts w:ascii="Times New Roman" w:hAnsi="Times New Roman"/>
          <w:sz w:val="24"/>
          <w:szCs w:val="28"/>
          <w:lang w:val="en-US"/>
        </w:rPr>
        <w:t>reparation and submission of reports within the framework of the Internal Capital Adequacy Assessment Process (ICAAP).</w:t>
      </w:r>
    </w:p>
    <w:p w:rsidR="00A2266F" w:rsidRPr="00E27EED" w:rsidRDefault="00852C01" w:rsidP="000B0C64">
      <w:pPr>
        <w:spacing w:after="0" w:line="240" w:lineRule="auto"/>
        <w:ind w:firstLine="567"/>
        <w:jc w:val="both"/>
        <w:rPr>
          <w:rFonts w:ascii="Times New Roman" w:hAnsi="Times New Roman"/>
          <w:sz w:val="24"/>
          <w:szCs w:val="28"/>
          <w:lang w:val="en-US"/>
        </w:rPr>
      </w:pPr>
      <w:r>
        <w:rPr>
          <w:rFonts w:ascii="Times New Roman" w:hAnsi="Times New Roman"/>
          <w:sz w:val="24"/>
          <w:szCs w:val="28"/>
          <w:lang w:val="en-US"/>
        </w:rPr>
        <w:t>Control over</w:t>
      </w:r>
      <w:r w:rsidR="00A2266F" w:rsidRPr="00E27EED">
        <w:rPr>
          <w:rFonts w:ascii="Times New Roman" w:hAnsi="Times New Roman"/>
          <w:sz w:val="24"/>
          <w:szCs w:val="28"/>
          <w:lang w:val="en-US"/>
        </w:rPr>
        <w:t xml:space="preserve"> compliance with the Bank’s planned (target) capital level and planned (target) </w:t>
      </w:r>
      <w:r>
        <w:rPr>
          <w:rFonts w:ascii="Times New Roman" w:hAnsi="Times New Roman"/>
          <w:sz w:val="24"/>
          <w:szCs w:val="28"/>
          <w:lang w:val="en-US"/>
        </w:rPr>
        <w:t xml:space="preserve">values of </w:t>
      </w:r>
      <w:r w:rsidR="00A2266F" w:rsidRPr="00E27EED">
        <w:rPr>
          <w:rFonts w:ascii="Times New Roman" w:hAnsi="Times New Roman"/>
          <w:sz w:val="24"/>
          <w:szCs w:val="28"/>
          <w:lang w:val="en-US"/>
        </w:rPr>
        <w:t xml:space="preserve">capital adequacy ratios, established as part of the risk appetite determination process, is </w:t>
      </w:r>
      <w:r>
        <w:rPr>
          <w:rFonts w:ascii="Times New Roman" w:hAnsi="Times New Roman"/>
          <w:sz w:val="24"/>
          <w:szCs w:val="28"/>
          <w:lang w:val="en-US"/>
        </w:rPr>
        <w:t>exercised</w:t>
      </w:r>
      <w:r w:rsidR="00A2266F" w:rsidRPr="00E27EED">
        <w:rPr>
          <w:rFonts w:ascii="Times New Roman" w:hAnsi="Times New Roman"/>
          <w:sz w:val="24"/>
          <w:szCs w:val="28"/>
          <w:lang w:val="en-US"/>
        </w:rPr>
        <w:t xml:space="preserve"> by the Bank’s Finance Department in accordance with the Business Planning Regulations of </w:t>
      </w:r>
      <w:r w:rsidR="00467B31" w:rsidRPr="00467B31">
        <w:rPr>
          <w:rFonts w:ascii="Times New Roman" w:hAnsi="Times New Roman"/>
          <w:sz w:val="24"/>
          <w:szCs w:val="28"/>
          <w:lang w:val="en-US"/>
        </w:rPr>
        <w:t>Subsidiary JSC VTB Bank (Kazakhstan)</w:t>
      </w:r>
      <w:r w:rsidR="00A2266F" w:rsidRPr="00E27EED">
        <w:rPr>
          <w:rFonts w:ascii="Times New Roman" w:hAnsi="Times New Roman"/>
          <w:sz w:val="24"/>
          <w:szCs w:val="28"/>
          <w:lang w:val="en-US"/>
        </w:rPr>
        <w:t>.</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The Bank’s Finance Department calculates the amount of capital and the</w:t>
      </w:r>
      <w:r w:rsidR="00852C01">
        <w:rPr>
          <w:rFonts w:ascii="Times New Roman" w:hAnsi="Times New Roman"/>
          <w:sz w:val="24"/>
          <w:szCs w:val="28"/>
          <w:lang w:val="en-US"/>
        </w:rPr>
        <w:t xml:space="preserve"> values of</w:t>
      </w:r>
      <w:r w:rsidRPr="00E27EED">
        <w:rPr>
          <w:rFonts w:ascii="Times New Roman" w:hAnsi="Times New Roman"/>
          <w:sz w:val="24"/>
          <w:szCs w:val="28"/>
          <w:lang w:val="en-US"/>
        </w:rPr>
        <w:t xml:space="preserve"> capital adequacy ratios in accordance with the Regulations on the Procedure for Monitoring Prudential Ratios at </w:t>
      </w:r>
      <w:r w:rsidR="00467B31" w:rsidRPr="00467B31">
        <w:rPr>
          <w:rFonts w:ascii="Times New Roman" w:hAnsi="Times New Roman"/>
          <w:sz w:val="24"/>
          <w:szCs w:val="28"/>
          <w:lang w:val="en-US"/>
        </w:rPr>
        <w:t>Subsidiary JSC VTB Bank (Kazakhstan)</w:t>
      </w:r>
      <w:r w:rsidRPr="00E27EED">
        <w:rPr>
          <w:rFonts w:ascii="Times New Roman" w:hAnsi="Times New Roman"/>
          <w:sz w:val="24"/>
          <w:szCs w:val="28"/>
          <w:lang w:val="en-US"/>
        </w:rPr>
        <w:t>.</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The procedure for monitoring capital levels and capital adequacy ratios, the information used, the procedure for providing information, as well as the procedure for determining the calculated capital levels and capital adequacy ratios are established by a separate regulatory act of the Bank.</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To prevent capital and capital adequacy ratios from falling below their planned (target) levels, the Bank’s Finance Department and Risk Management Department conduct preliminary approval of transactions carried out by the Bank that affect capital and capital adequacy ratios. Transactions that carry the risk of reducing the amount of capital and capital adequacy ratios below the established control thresholds are not approved.</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The procedure for obtaining such approval for transactions, the criteria for transactions conducted by the Bank that affect the amount of capital and the levels of capital adequacy ratios, as well as the procedure for providing information as part of the monitoring of capital levels and capital adequacy ratios, are established by a separate regulatory act of the Bank.</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 xml:space="preserve">In the event that the actual </w:t>
      </w:r>
      <w:r w:rsidR="00852C01">
        <w:rPr>
          <w:rFonts w:ascii="Times New Roman" w:hAnsi="Times New Roman"/>
          <w:sz w:val="24"/>
          <w:szCs w:val="28"/>
          <w:lang w:val="en-US"/>
        </w:rPr>
        <w:t xml:space="preserve">amount of </w:t>
      </w:r>
      <w:r w:rsidRPr="00E27EED">
        <w:rPr>
          <w:rFonts w:ascii="Times New Roman" w:hAnsi="Times New Roman"/>
          <w:sz w:val="24"/>
          <w:szCs w:val="28"/>
          <w:lang w:val="en-US"/>
        </w:rPr>
        <w:t>capital and actual capital adequacy ratios fall below the established triggers, proposals to implement measures aimed at increasing the capital level and capital adequacy ratios are submitted to the Bank’s Capital Adequacy Committee for consideration as part of management reporting on capital adequacy, in order to provide early warning of unforeseen circumstances. Measures aimed at improving capital adequacy are consistent with the Capital Adequacy Restoration Action Plan approved by the Bank’s Board of Directors.</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 xml:space="preserve">Reports containing information on compliance with mandatory ratios, the amount of capital, the results of the regulatory capital adequacy assessment, and compliance with relevant risk appetite indicators are submitted to the Bank’s </w:t>
      </w:r>
      <w:r w:rsidR="00852C01">
        <w:rPr>
          <w:rFonts w:ascii="Times New Roman" w:hAnsi="Times New Roman"/>
          <w:sz w:val="24"/>
          <w:szCs w:val="28"/>
          <w:lang w:val="en-US"/>
        </w:rPr>
        <w:t xml:space="preserve">ACBs </w:t>
      </w:r>
      <w:r w:rsidRPr="00E27EED">
        <w:rPr>
          <w:rFonts w:ascii="Times New Roman" w:hAnsi="Times New Roman"/>
          <w:sz w:val="24"/>
          <w:szCs w:val="28"/>
          <w:lang w:val="en-US"/>
        </w:rPr>
        <w:t>for review.</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 xml:space="preserve">Actual </w:t>
      </w:r>
      <w:r w:rsidR="00852C01">
        <w:rPr>
          <w:rFonts w:ascii="Times New Roman" w:hAnsi="Times New Roman"/>
          <w:sz w:val="24"/>
          <w:szCs w:val="28"/>
          <w:lang w:val="en-US"/>
        </w:rPr>
        <w:t xml:space="preserve">values of the amount of </w:t>
      </w:r>
      <w:r w:rsidRPr="00E27EED">
        <w:rPr>
          <w:rFonts w:ascii="Times New Roman" w:hAnsi="Times New Roman"/>
          <w:sz w:val="24"/>
          <w:szCs w:val="28"/>
          <w:lang w:val="en-US"/>
        </w:rPr>
        <w:t xml:space="preserve">capital and capital adequacy ratios are also communicated to the heads of the Bank’s </w:t>
      </w:r>
      <w:r w:rsidR="00852C01">
        <w:rPr>
          <w:rFonts w:ascii="Times New Roman" w:hAnsi="Times New Roman"/>
          <w:sz w:val="24"/>
          <w:szCs w:val="28"/>
          <w:lang w:val="en-US"/>
        </w:rPr>
        <w:t>structural subdivisions</w:t>
      </w:r>
      <w:r w:rsidRPr="00E27EED">
        <w:rPr>
          <w:rFonts w:ascii="Times New Roman" w:hAnsi="Times New Roman"/>
          <w:sz w:val="24"/>
          <w:szCs w:val="28"/>
          <w:lang w:val="en-US"/>
        </w:rPr>
        <w:t xml:space="preserve"> and members of its committees responsible for risk and capital management as part of management reporting within the framework of the Internal Capital Adequacy Assessment Process (ICAAP).</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 xml:space="preserve">The detailed procedure for managing the Bank’s regulatory capital and the process for </w:t>
      </w:r>
      <w:r w:rsidR="00852C01">
        <w:rPr>
          <w:rFonts w:ascii="Times New Roman" w:hAnsi="Times New Roman"/>
          <w:sz w:val="24"/>
          <w:szCs w:val="28"/>
          <w:lang w:val="en-US"/>
        </w:rPr>
        <w:t xml:space="preserve">interaction </w:t>
      </w:r>
      <w:r w:rsidRPr="00E27EED">
        <w:rPr>
          <w:rFonts w:ascii="Times New Roman" w:hAnsi="Times New Roman"/>
          <w:sz w:val="24"/>
          <w:szCs w:val="28"/>
          <w:lang w:val="en-US"/>
        </w:rPr>
        <w:t xml:space="preserve">among </w:t>
      </w:r>
      <w:r w:rsidR="00852C01">
        <w:rPr>
          <w:rFonts w:ascii="Times New Roman" w:hAnsi="Times New Roman"/>
          <w:sz w:val="24"/>
          <w:szCs w:val="28"/>
          <w:lang w:val="en-US"/>
        </w:rPr>
        <w:t xml:space="preserve">structural subdivisions </w:t>
      </w:r>
      <w:r w:rsidRPr="00E27EED">
        <w:rPr>
          <w:rFonts w:ascii="Times New Roman" w:hAnsi="Times New Roman"/>
          <w:sz w:val="24"/>
          <w:szCs w:val="28"/>
          <w:lang w:val="en-US"/>
        </w:rPr>
        <w:t xml:space="preserve">are defined by the Procedure for Managing Regulatory Capital at </w:t>
      </w:r>
      <w:r w:rsidR="00467B31" w:rsidRPr="00467B31">
        <w:rPr>
          <w:rFonts w:ascii="Times New Roman" w:hAnsi="Times New Roman"/>
          <w:sz w:val="24"/>
          <w:szCs w:val="28"/>
          <w:lang w:val="en-US"/>
        </w:rPr>
        <w:t>Subsidiary JSC VTB Bank (Kazakhstan)</w:t>
      </w:r>
      <w:r w:rsidR="00467B31">
        <w:rPr>
          <w:rFonts w:ascii="Times New Roman" w:hAnsi="Times New Roman"/>
          <w:sz w:val="24"/>
          <w:szCs w:val="28"/>
          <w:lang w:val="en-US"/>
        </w:rPr>
        <w:t xml:space="preserve"> </w:t>
      </w:r>
      <w:r w:rsidRPr="00E27EED">
        <w:rPr>
          <w:rFonts w:ascii="Times New Roman" w:hAnsi="Times New Roman"/>
          <w:sz w:val="24"/>
          <w:szCs w:val="28"/>
          <w:lang w:val="en-US"/>
        </w:rPr>
        <w:t xml:space="preserve">and the Regulations on the Procedure for Monitoring Prudential Ratios at </w:t>
      </w:r>
      <w:r w:rsidR="00467B31" w:rsidRPr="00467B31">
        <w:rPr>
          <w:rFonts w:ascii="Times New Roman" w:hAnsi="Times New Roman"/>
          <w:sz w:val="24"/>
          <w:szCs w:val="28"/>
          <w:lang w:val="en-US"/>
        </w:rPr>
        <w:t>Subsidiary JSC VTB Bank (Kazakhstan)</w:t>
      </w:r>
      <w:r w:rsidRPr="00E27EED">
        <w:rPr>
          <w:rFonts w:ascii="Times New Roman" w:hAnsi="Times New Roman"/>
          <w:sz w:val="24"/>
          <w:szCs w:val="28"/>
          <w:lang w:val="en-US"/>
        </w:rPr>
        <w:t>.</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The Bank’s capital adequacy is assessed in terms of both regulatory and internal (economic) capital.</w:t>
      </w: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lastRenderedPageBreak/>
        <w:t>Regulatory capital is calculated in accordance with the requirements of Regulation No. 170, including all prescribed capital adequacy ratios (k1, k1-2, k2) and the corresponding buffers (conservation and systemic).</w:t>
      </w:r>
    </w:p>
    <w:p w:rsidR="00A2266F" w:rsidRPr="00E27EED" w:rsidRDefault="00A2266F" w:rsidP="000B0C64">
      <w:pPr>
        <w:spacing w:after="0"/>
        <w:ind w:firstLine="426"/>
        <w:jc w:val="both"/>
        <w:rPr>
          <w:rStyle w:val="s0"/>
          <w:sz w:val="24"/>
          <w:szCs w:val="24"/>
          <w:lang w:val="en-US"/>
        </w:rPr>
      </w:pPr>
      <w:r w:rsidRPr="00E27EED">
        <w:rPr>
          <w:rStyle w:val="s0"/>
          <w:sz w:val="24"/>
          <w:szCs w:val="24"/>
          <w:lang w:val="en-US"/>
        </w:rPr>
        <w:t xml:space="preserve">The Bank’s equity </w:t>
      </w:r>
      <w:r w:rsidR="00852C01">
        <w:rPr>
          <w:rStyle w:val="s0"/>
          <w:sz w:val="24"/>
          <w:szCs w:val="24"/>
          <w:lang w:val="en-US"/>
        </w:rPr>
        <w:t xml:space="preserve">capital </w:t>
      </w:r>
      <w:r w:rsidRPr="00E27EED">
        <w:rPr>
          <w:rStyle w:val="s0"/>
          <w:sz w:val="24"/>
          <w:szCs w:val="24"/>
          <w:lang w:val="en-US"/>
        </w:rPr>
        <w:t>is calculated as the sum of Tier 1 capital and Tier 2 capital, less positive differences calculated in accordance with the requirements of the National Bank of the Republic of Kazakhstan (NBRK).</w:t>
      </w:r>
    </w:p>
    <w:p w:rsidR="00A2266F" w:rsidRPr="00E27EED" w:rsidRDefault="00A2266F" w:rsidP="000B0C64">
      <w:pPr>
        <w:spacing w:after="0"/>
        <w:ind w:firstLine="426"/>
        <w:jc w:val="both"/>
        <w:rPr>
          <w:rStyle w:val="s0"/>
          <w:sz w:val="24"/>
          <w:szCs w:val="24"/>
          <w:lang w:val="en-US"/>
        </w:rPr>
      </w:pPr>
      <w:r w:rsidRPr="00E27EED">
        <w:rPr>
          <w:rStyle w:val="s0"/>
          <w:sz w:val="24"/>
          <w:szCs w:val="24"/>
          <w:lang w:val="en-US"/>
        </w:rPr>
        <w:t>The table below presents an analysis of the Bank’s capital, calculated in accordance with the requirements of the National Bank of the Republic of Kazakhstan, as of December 31:</w:t>
      </w:r>
    </w:p>
    <w:p w:rsidR="00A2266F" w:rsidRPr="00E27EED" w:rsidRDefault="00A2266F" w:rsidP="000B0C64">
      <w:pPr>
        <w:spacing w:after="0"/>
        <w:ind w:firstLine="426"/>
        <w:jc w:val="right"/>
        <w:rPr>
          <w:rStyle w:val="s0"/>
          <w:sz w:val="24"/>
          <w:szCs w:val="24"/>
          <w:lang w:val="en-US"/>
        </w:rPr>
      </w:pPr>
      <w:r w:rsidRPr="00E27EED">
        <w:rPr>
          <w:rStyle w:val="s0"/>
          <w:sz w:val="24"/>
          <w:szCs w:val="24"/>
          <w:lang w:val="en-US"/>
        </w:rPr>
        <w:t>(</w:t>
      </w:r>
      <w:r w:rsidR="00D5215F">
        <w:rPr>
          <w:rStyle w:val="s0"/>
          <w:sz w:val="24"/>
          <w:szCs w:val="24"/>
          <w:lang w:val="en-US"/>
        </w:rPr>
        <w:t>KZT</w:t>
      </w:r>
      <w:r w:rsidR="00D5215F" w:rsidRPr="00E27EED">
        <w:rPr>
          <w:rStyle w:val="s0"/>
          <w:sz w:val="24"/>
          <w:szCs w:val="24"/>
          <w:lang w:val="en-US"/>
        </w:rPr>
        <w:t xml:space="preserve"> </w:t>
      </w:r>
      <w:r w:rsidRPr="00E27EED">
        <w:rPr>
          <w:rStyle w:val="s0"/>
          <w:sz w:val="24"/>
          <w:szCs w:val="24"/>
          <w:lang w:val="en-US"/>
        </w:rPr>
        <w:t>thousands)</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701"/>
      </w:tblGrid>
      <w:tr w:rsidR="00A2266F" w:rsidRPr="00E27EED" w:rsidTr="00A2266F">
        <w:trPr>
          <w:trHeight w:val="227"/>
          <w:jc w:val="center"/>
        </w:trPr>
        <w:tc>
          <w:tcPr>
            <w:tcW w:w="6237" w:type="dxa"/>
            <w:vAlign w:val="bottom"/>
          </w:tcPr>
          <w:p w:rsidR="00A2266F" w:rsidRPr="00E27EED" w:rsidRDefault="00A2266F" w:rsidP="000B0C64">
            <w:pPr>
              <w:pStyle w:val="Normaltext"/>
              <w:spacing w:line="240" w:lineRule="auto"/>
              <w:ind w:left="5" w:right="-108" w:hanging="113"/>
              <w:jc w:val="left"/>
              <w:rPr>
                <w:b/>
                <w:color w:val="000000" w:themeColor="text1"/>
                <w:lang w:val="en-US"/>
              </w:rPr>
            </w:pPr>
          </w:p>
        </w:tc>
        <w:tc>
          <w:tcPr>
            <w:tcW w:w="1701" w:type="dxa"/>
            <w:vAlign w:val="bottom"/>
          </w:tcPr>
          <w:p w:rsidR="00A2266F" w:rsidRPr="00E27EED" w:rsidRDefault="00B81528" w:rsidP="00B81528">
            <w:pPr>
              <w:pStyle w:val="Normaltext"/>
              <w:spacing w:line="240" w:lineRule="auto"/>
              <w:ind w:left="-113" w:right="68"/>
              <w:jc w:val="right"/>
              <w:rPr>
                <w:b/>
                <w:i/>
                <w:color w:val="000000" w:themeColor="text1"/>
                <w:lang w:val="en-US"/>
              </w:rPr>
            </w:pPr>
            <w:r w:rsidRPr="00E27EED">
              <w:rPr>
                <w:b/>
                <w:i/>
                <w:color w:val="000000" w:themeColor="text1"/>
                <w:lang w:val="en-US"/>
              </w:rPr>
              <w:t>2</w:t>
            </w:r>
            <w:r w:rsidR="00A2266F" w:rsidRPr="00E27EED">
              <w:rPr>
                <w:b/>
                <w:i/>
                <w:color w:val="000000" w:themeColor="text1"/>
                <w:lang w:val="en-US"/>
              </w:rPr>
              <w:t>0</w:t>
            </w:r>
            <w:r w:rsidRPr="00E27EED">
              <w:rPr>
                <w:b/>
                <w:i/>
                <w:color w:val="000000" w:themeColor="text1"/>
                <w:lang w:val="en-US"/>
              </w:rPr>
              <w:t>25</w:t>
            </w:r>
          </w:p>
        </w:tc>
      </w:tr>
      <w:tr w:rsidR="00A2266F" w:rsidRPr="00E27EED" w:rsidTr="00A2266F">
        <w:trPr>
          <w:trHeight w:val="227"/>
          <w:jc w:val="center"/>
        </w:trPr>
        <w:tc>
          <w:tcPr>
            <w:tcW w:w="6237" w:type="dxa"/>
            <w:vAlign w:val="bottom"/>
          </w:tcPr>
          <w:p w:rsidR="00A2266F" w:rsidRPr="00E27EED" w:rsidRDefault="00A2266F" w:rsidP="000B0C64">
            <w:pPr>
              <w:pStyle w:val="Normaltext"/>
              <w:spacing w:line="240" w:lineRule="auto"/>
              <w:ind w:left="5" w:right="-108" w:hanging="113"/>
              <w:jc w:val="left"/>
              <w:rPr>
                <w:b/>
                <w:color w:val="000000" w:themeColor="text1"/>
                <w:lang w:val="en-US"/>
              </w:rPr>
            </w:pPr>
          </w:p>
        </w:tc>
        <w:tc>
          <w:tcPr>
            <w:tcW w:w="1701" w:type="dxa"/>
            <w:vAlign w:val="bottom"/>
          </w:tcPr>
          <w:p w:rsidR="00A2266F" w:rsidRPr="00E27EED" w:rsidRDefault="00A2266F" w:rsidP="000B0C64">
            <w:pPr>
              <w:pStyle w:val="Normaltext"/>
              <w:tabs>
                <w:tab w:val="decimal" w:pos="1418"/>
              </w:tabs>
              <w:spacing w:line="240" w:lineRule="auto"/>
              <w:ind w:right="0"/>
              <w:jc w:val="left"/>
              <w:rPr>
                <w:color w:val="000000" w:themeColor="text1"/>
                <w:lang w:val="en-US"/>
              </w:rPr>
            </w:pPr>
          </w:p>
        </w:tc>
      </w:tr>
      <w:tr w:rsidR="00A2266F" w:rsidRPr="00E27EED" w:rsidTr="00A2266F">
        <w:trPr>
          <w:trHeight w:val="227"/>
          <w:jc w:val="center"/>
        </w:trPr>
        <w:tc>
          <w:tcPr>
            <w:tcW w:w="6237" w:type="dxa"/>
            <w:vAlign w:val="bottom"/>
          </w:tcPr>
          <w:p w:rsidR="00A2266F" w:rsidRPr="00E27EED" w:rsidRDefault="00A2266F" w:rsidP="000B0C64">
            <w:pPr>
              <w:pStyle w:val="Normaltext"/>
              <w:spacing w:line="240" w:lineRule="auto"/>
              <w:ind w:left="5" w:right="-108" w:hanging="113"/>
              <w:jc w:val="left"/>
              <w:rPr>
                <w:color w:val="000000" w:themeColor="text1"/>
                <w:lang w:val="en-US"/>
              </w:rPr>
            </w:pPr>
            <w:r w:rsidRPr="00E27EED">
              <w:rPr>
                <w:color w:val="000000" w:themeColor="text1"/>
                <w:lang w:val="en-US"/>
              </w:rPr>
              <w:t>Tier 1 Capital</w:t>
            </w:r>
          </w:p>
        </w:tc>
        <w:tc>
          <w:tcPr>
            <w:tcW w:w="1701" w:type="dxa"/>
            <w:vAlign w:val="bottom"/>
          </w:tcPr>
          <w:p w:rsidR="00A2266F" w:rsidRPr="00E27EED" w:rsidRDefault="00B81528" w:rsidP="00B81528">
            <w:pPr>
              <w:pStyle w:val="Normaltext"/>
              <w:tabs>
                <w:tab w:val="decimal" w:pos="1306"/>
              </w:tabs>
              <w:spacing w:line="240" w:lineRule="auto"/>
              <w:ind w:right="0"/>
              <w:jc w:val="left"/>
              <w:rPr>
                <w:sz w:val="20"/>
                <w:szCs w:val="20"/>
                <w:lang w:val="en-US"/>
              </w:rPr>
            </w:pPr>
            <w:r w:rsidRPr="00E27EED">
              <w:rPr>
                <w:color w:val="000000" w:themeColor="text1"/>
                <w:lang w:val="en-US"/>
              </w:rPr>
              <w:t>113,141,933</w:t>
            </w:r>
          </w:p>
        </w:tc>
      </w:tr>
      <w:tr w:rsidR="00A2266F" w:rsidRPr="00E27EED" w:rsidTr="00A2266F">
        <w:trPr>
          <w:trHeight w:val="227"/>
          <w:jc w:val="center"/>
        </w:trPr>
        <w:tc>
          <w:tcPr>
            <w:tcW w:w="6237" w:type="dxa"/>
            <w:vAlign w:val="bottom"/>
          </w:tcPr>
          <w:p w:rsidR="00A2266F" w:rsidRPr="00E27EED" w:rsidRDefault="00A2266F" w:rsidP="000B0C64">
            <w:pPr>
              <w:pStyle w:val="Normaltext"/>
              <w:spacing w:line="240" w:lineRule="auto"/>
              <w:ind w:left="5" w:right="-108" w:hanging="113"/>
              <w:jc w:val="left"/>
              <w:rPr>
                <w:color w:val="000000" w:themeColor="text1"/>
                <w:lang w:val="en-US"/>
              </w:rPr>
            </w:pPr>
            <w:r w:rsidRPr="00E27EED">
              <w:rPr>
                <w:color w:val="000000" w:themeColor="text1"/>
                <w:lang w:val="en-US"/>
              </w:rPr>
              <w:t>Equity</w:t>
            </w:r>
            <w:r w:rsidR="00852C01">
              <w:rPr>
                <w:color w:val="000000" w:themeColor="text1"/>
                <w:lang w:val="en-US"/>
              </w:rPr>
              <w:t xml:space="preserve"> capital</w:t>
            </w:r>
          </w:p>
        </w:tc>
        <w:tc>
          <w:tcPr>
            <w:tcW w:w="1701" w:type="dxa"/>
            <w:vAlign w:val="bottom"/>
          </w:tcPr>
          <w:p w:rsidR="00A2266F" w:rsidRPr="00E27EED" w:rsidRDefault="004134B6" w:rsidP="000B0C64">
            <w:pPr>
              <w:pStyle w:val="Normaltext"/>
              <w:tabs>
                <w:tab w:val="decimal" w:pos="1306"/>
              </w:tabs>
              <w:spacing w:line="240" w:lineRule="auto"/>
              <w:ind w:right="0"/>
              <w:jc w:val="left"/>
              <w:rPr>
                <w:color w:val="000000" w:themeColor="text1"/>
                <w:lang w:val="en-US"/>
              </w:rPr>
            </w:pPr>
            <w:r w:rsidRPr="00E27EED">
              <w:rPr>
                <w:color w:val="000000" w:themeColor="text1"/>
                <w:lang w:val="en-US"/>
              </w:rPr>
              <w:t>113,141,933</w:t>
            </w:r>
          </w:p>
        </w:tc>
      </w:tr>
      <w:tr w:rsidR="00A2266F" w:rsidRPr="00E27EED" w:rsidTr="00A2266F">
        <w:trPr>
          <w:trHeight w:val="227"/>
          <w:jc w:val="center"/>
        </w:trPr>
        <w:tc>
          <w:tcPr>
            <w:tcW w:w="6237" w:type="dxa"/>
            <w:vAlign w:val="bottom"/>
          </w:tcPr>
          <w:p w:rsidR="00A2266F" w:rsidRPr="00E27EED" w:rsidRDefault="00A2266F" w:rsidP="000B0C64">
            <w:pPr>
              <w:pStyle w:val="Normaltext"/>
              <w:spacing w:line="240" w:lineRule="auto"/>
              <w:ind w:left="5" w:right="-108" w:hanging="113"/>
              <w:jc w:val="left"/>
              <w:rPr>
                <w:b/>
                <w:color w:val="000000" w:themeColor="text1"/>
                <w:lang w:val="en-US"/>
              </w:rPr>
            </w:pPr>
            <w:r w:rsidRPr="00E27EED">
              <w:rPr>
                <w:b/>
                <w:color w:val="000000" w:themeColor="text1"/>
                <w:lang w:val="en-US"/>
              </w:rPr>
              <w:t xml:space="preserve"> </w:t>
            </w:r>
          </w:p>
        </w:tc>
        <w:tc>
          <w:tcPr>
            <w:tcW w:w="1701" w:type="dxa"/>
            <w:vAlign w:val="bottom"/>
          </w:tcPr>
          <w:p w:rsidR="00A2266F" w:rsidRPr="00E27EED" w:rsidRDefault="00A2266F" w:rsidP="000B0C64">
            <w:pPr>
              <w:pStyle w:val="Normaltext"/>
              <w:tabs>
                <w:tab w:val="decimal" w:pos="1306"/>
              </w:tabs>
              <w:spacing w:line="240" w:lineRule="auto"/>
              <w:ind w:right="0"/>
              <w:jc w:val="left"/>
              <w:rPr>
                <w:color w:val="000000" w:themeColor="text1"/>
                <w:lang w:val="en-US"/>
              </w:rPr>
            </w:pPr>
          </w:p>
        </w:tc>
      </w:tr>
      <w:tr w:rsidR="00A2266F" w:rsidRPr="00E27EED" w:rsidTr="004134B6">
        <w:trPr>
          <w:trHeight w:val="227"/>
          <w:jc w:val="center"/>
        </w:trPr>
        <w:tc>
          <w:tcPr>
            <w:tcW w:w="6237" w:type="dxa"/>
            <w:vAlign w:val="bottom"/>
          </w:tcPr>
          <w:p w:rsidR="00A2266F" w:rsidRPr="00E27EED" w:rsidRDefault="00A2266F" w:rsidP="000B0C64">
            <w:pPr>
              <w:pStyle w:val="Normaltext"/>
              <w:spacing w:line="240" w:lineRule="auto"/>
              <w:ind w:left="5" w:right="-108" w:hanging="113"/>
              <w:jc w:val="left"/>
              <w:rPr>
                <w:b/>
                <w:color w:val="000000" w:themeColor="text1"/>
                <w:lang w:val="en-US"/>
              </w:rPr>
            </w:pPr>
            <w:r w:rsidRPr="00E27EED">
              <w:rPr>
                <w:color w:val="000000" w:themeColor="text1"/>
                <w:lang w:val="en-US"/>
              </w:rPr>
              <w:t>Total regulatory risk-weighted assets, contingent and potential liabilities, and operational and market risk</w:t>
            </w:r>
          </w:p>
        </w:tc>
        <w:tc>
          <w:tcPr>
            <w:tcW w:w="1701" w:type="dxa"/>
            <w:vAlign w:val="center"/>
          </w:tcPr>
          <w:p w:rsidR="00A2266F" w:rsidRPr="00E27EED" w:rsidRDefault="004134B6" w:rsidP="004134B6">
            <w:pPr>
              <w:pStyle w:val="Normaltext"/>
              <w:tabs>
                <w:tab w:val="decimal" w:pos="1306"/>
              </w:tabs>
              <w:spacing w:line="240" w:lineRule="auto"/>
              <w:ind w:right="0"/>
              <w:jc w:val="center"/>
              <w:rPr>
                <w:color w:val="000000" w:themeColor="text1"/>
                <w:lang w:val="en-US"/>
              </w:rPr>
            </w:pPr>
            <w:r w:rsidRPr="00E27EED">
              <w:rPr>
                <w:color w:val="000000" w:themeColor="text1"/>
                <w:lang w:val="en-US"/>
              </w:rPr>
              <w:t>109,782,475</w:t>
            </w:r>
          </w:p>
        </w:tc>
      </w:tr>
    </w:tbl>
    <w:p w:rsidR="00A2266F" w:rsidRPr="00E27EED" w:rsidRDefault="00A2266F" w:rsidP="000B0C64">
      <w:pPr>
        <w:spacing w:after="0" w:line="240" w:lineRule="auto"/>
        <w:ind w:firstLine="567"/>
        <w:jc w:val="both"/>
        <w:rPr>
          <w:rFonts w:ascii="Times New Roman" w:hAnsi="Times New Roman"/>
          <w:sz w:val="24"/>
          <w:szCs w:val="28"/>
          <w:lang w:val="en-US"/>
        </w:rPr>
      </w:pPr>
    </w:p>
    <w:p w:rsidR="00A2266F" w:rsidRPr="00E27EED" w:rsidRDefault="00A2266F" w:rsidP="000B0C64">
      <w:pPr>
        <w:spacing w:after="0" w:line="240" w:lineRule="auto"/>
        <w:ind w:firstLine="567"/>
        <w:jc w:val="both"/>
        <w:rPr>
          <w:rFonts w:ascii="Times New Roman" w:hAnsi="Times New Roman"/>
          <w:sz w:val="24"/>
          <w:szCs w:val="28"/>
          <w:lang w:val="en-US"/>
        </w:rPr>
      </w:pPr>
      <w:r w:rsidRPr="00E27EED">
        <w:rPr>
          <w:rFonts w:ascii="Times New Roman" w:hAnsi="Times New Roman"/>
          <w:sz w:val="24"/>
          <w:szCs w:val="28"/>
          <w:lang w:val="en-US"/>
        </w:rPr>
        <w:t>Capital adequacy (regulatory) ratios, taking into account buffers, are presented in the following table.</w:t>
      </w:r>
    </w:p>
    <w:p w:rsidR="00A2266F" w:rsidRPr="00E27EED" w:rsidRDefault="00A2266F" w:rsidP="000B0C64">
      <w:pPr>
        <w:spacing w:after="0" w:line="240" w:lineRule="auto"/>
        <w:ind w:firstLine="567"/>
        <w:jc w:val="both"/>
        <w:rPr>
          <w:rFonts w:ascii="Times New Roman" w:hAnsi="Times New Roman"/>
          <w:sz w:val="24"/>
          <w:szCs w:val="28"/>
          <w:lang w:val="en-US"/>
        </w:rPr>
      </w:pPr>
    </w:p>
    <w:p w:rsidR="00A2266F" w:rsidRPr="00E27EED" w:rsidRDefault="00A2266F" w:rsidP="000B0C64">
      <w:pPr>
        <w:pStyle w:val="pc"/>
        <w:rPr>
          <w:rStyle w:val="s19"/>
          <w:color w:val="auto"/>
          <w:lang w:val="en-US"/>
        </w:rPr>
      </w:pPr>
      <w:r w:rsidRPr="00E27EED">
        <w:rPr>
          <w:rStyle w:val="s19"/>
          <w:color w:val="auto"/>
          <w:lang w:val="en-US"/>
        </w:rPr>
        <w:t>Capital adequacy ratios, taking into account the conservation buffer and the systemic buffer</w:t>
      </w:r>
    </w:p>
    <w:tbl>
      <w:tblPr>
        <w:tblW w:w="9346" w:type="dxa"/>
        <w:tblLook w:val="04A0" w:firstRow="1" w:lastRow="0" w:firstColumn="1" w:lastColumn="0" w:noHBand="0" w:noVBand="1"/>
      </w:tblPr>
      <w:tblGrid>
        <w:gridCol w:w="720"/>
        <w:gridCol w:w="2320"/>
        <w:gridCol w:w="3300"/>
        <w:gridCol w:w="3006"/>
      </w:tblGrid>
      <w:tr w:rsidR="00A2266F" w:rsidRPr="00AF13AC" w:rsidTr="00A2266F">
        <w:trPr>
          <w:trHeight w:val="1515"/>
        </w:trPr>
        <w:tc>
          <w:tcPr>
            <w:tcW w:w="7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No.</w:t>
            </w:r>
          </w:p>
        </w:tc>
        <w:tc>
          <w:tcPr>
            <w:tcW w:w="2320" w:type="dxa"/>
            <w:tcBorders>
              <w:top w:val="single" w:sz="8" w:space="0" w:color="auto"/>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Name</w:t>
            </w:r>
          </w:p>
        </w:tc>
        <w:tc>
          <w:tcPr>
            <w:tcW w:w="3300" w:type="dxa"/>
            <w:tcBorders>
              <w:top w:val="single" w:sz="8" w:space="0" w:color="auto"/>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Minimum permissible level of capital adequacy ratios, taking into account the conservation buffer and the systemic buffer (%)</w:t>
            </w:r>
          </w:p>
        </w:tc>
        <w:tc>
          <w:tcPr>
            <w:tcW w:w="3006" w:type="dxa"/>
            <w:tcBorders>
              <w:top w:val="single" w:sz="8" w:space="0" w:color="auto"/>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Actual capital adequacy ratios, taking into account the conservation buffer and the systemic buffer (%)</w:t>
            </w:r>
          </w:p>
        </w:tc>
      </w:tr>
      <w:tr w:rsidR="00A2266F" w:rsidRPr="00E27EED" w:rsidTr="00A2266F">
        <w:trPr>
          <w:trHeight w:val="6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1</w:t>
            </w:r>
          </w:p>
        </w:tc>
        <w:tc>
          <w:tcPr>
            <w:tcW w:w="232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2</w:t>
            </w:r>
          </w:p>
        </w:tc>
        <w:tc>
          <w:tcPr>
            <w:tcW w:w="330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3</w:t>
            </w:r>
          </w:p>
        </w:tc>
        <w:tc>
          <w:tcPr>
            <w:tcW w:w="3006"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4</w:t>
            </w:r>
          </w:p>
        </w:tc>
      </w:tr>
      <w:tr w:rsidR="00A2266F" w:rsidRPr="00E27EED" w:rsidTr="00AF13AC">
        <w:trPr>
          <w:trHeight w:val="739"/>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1</w:t>
            </w:r>
          </w:p>
        </w:tc>
        <w:tc>
          <w:tcPr>
            <w:tcW w:w="232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Core Capital Adequacy (k1)</w:t>
            </w:r>
          </w:p>
        </w:tc>
        <w:tc>
          <w:tcPr>
            <w:tcW w:w="330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8</w:t>
            </w:r>
          </w:p>
        </w:tc>
        <w:tc>
          <w:tcPr>
            <w:tcW w:w="3006" w:type="dxa"/>
            <w:tcBorders>
              <w:top w:val="nil"/>
              <w:left w:val="nil"/>
              <w:bottom w:val="single" w:sz="8" w:space="0" w:color="auto"/>
              <w:right w:val="single" w:sz="8" w:space="0" w:color="auto"/>
            </w:tcBorders>
            <w:shd w:val="clear" w:color="auto" w:fill="auto"/>
            <w:vAlign w:val="center"/>
            <w:hideMark/>
          </w:tcPr>
          <w:p w:rsidR="00A2266F" w:rsidRPr="00E27EED" w:rsidRDefault="00E34CD2"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103.1</w:t>
            </w:r>
          </w:p>
        </w:tc>
      </w:tr>
      <w:tr w:rsidR="00A2266F" w:rsidRPr="00E27EED" w:rsidTr="00AF13AC">
        <w:trPr>
          <w:trHeight w:val="75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2</w:t>
            </w:r>
          </w:p>
        </w:tc>
        <w:tc>
          <w:tcPr>
            <w:tcW w:w="232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Tier 1 Capital Adequacy (k1-2)</w:t>
            </w:r>
          </w:p>
        </w:tc>
        <w:tc>
          <w:tcPr>
            <w:tcW w:w="330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9</w:t>
            </w:r>
          </w:p>
        </w:tc>
        <w:tc>
          <w:tcPr>
            <w:tcW w:w="3006" w:type="dxa"/>
            <w:tcBorders>
              <w:top w:val="nil"/>
              <w:left w:val="nil"/>
              <w:bottom w:val="single" w:sz="8" w:space="0" w:color="auto"/>
              <w:right w:val="single" w:sz="8" w:space="0" w:color="auto"/>
            </w:tcBorders>
            <w:shd w:val="clear" w:color="auto" w:fill="auto"/>
            <w:vAlign w:val="center"/>
            <w:hideMark/>
          </w:tcPr>
          <w:p w:rsidR="00A2266F" w:rsidRPr="00E27EED" w:rsidRDefault="00E34CD2"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103.1</w:t>
            </w:r>
          </w:p>
        </w:tc>
      </w:tr>
      <w:tr w:rsidR="00A2266F" w:rsidRPr="00E27EED" w:rsidTr="00AF13AC">
        <w:trPr>
          <w:trHeight w:val="607"/>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3</w:t>
            </w:r>
          </w:p>
        </w:tc>
        <w:tc>
          <w:tcPr>
            <w:tcW w:w="232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Equity Capital Adequacy (k2)</w:t>
            </w:r>
          </w:p>
        </w:tc>
        <w:tc>
          <w:tcPr>
            <w:tcW w:w="3300" w:type="dxa"/>
            <w:tcBorders>
              <w:top w:val="nil"/>
              <w:left w:val="nil"/>
              <w:bottom w:val="single" w:sz="8" w:space="0" w:color="auto"/>
              <w:right w:val="single" w:sz="8" w:space="0" w:color="auto"/>
            </w:tcBorders>
            <w:shd w:val="clear" w:color="auto" w:fill="auto"/>
            <w:vAlign w:val="center"/>
            <w:hideMark/>
          </w:tcPr>
          <w:p w:rsidR="00A2266F" w:rsidRPr="00E27EED" w:rsidRDefault="00A2266F"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10.5</w:t>
            </w:r>
          </w:p>
        </w:tc>
        <w:tc>
          <w:tcPr>
            <w:tcW w:w="3006" w:type="dxa"/>
            <w:tcBorders>
              <w:top w:val="nil"/>
              <w:left w:val="nil"/>
              <w:bottom w:val="single" w:sz="8" w:space="0" w:color="auto"/>
              <w:right w:val="single" w:sz="8" w:space="0" w:color="auto"/>
            </w:tcBorders>
            <w:shd w:val="clear" w:color="auto" w:fill="auto"/>
            <w:vAlign w:val="center"/>
            <w:hideMark/>
          </w:tcPr>
          <w:p w:rsidR="00A2266F" w:rsidRPr="00E27EED" w:rsidRDefault="00E34CD2" w:rsidP="000B0C64">
            <w:pPr>
              <w:spacing w:after="0" w:line="240" w:lineRule="auto"/>
              <w:jc w:val="center"/>
              <w:rPr>
                <w:rFonts w:ascii="Times New Roman" w:eastAsia="Times New Roman" w:hAnsi="Times New Roman" w:cs="Times New Roman"/>
                <w:sz w:val="24"/>
                <w:szCs w:val="24"/>
                <w:lang w:val="en-US" w:eastAsia="ru-RU"/>
              </w:rPr>
            </w:pPr>
            <w:r w:rsidRPr="00E27EED">
              <w:rPr>
                <w:rFonts w:ascii="Times New Roman" w:eastAsia="Times New Roman" w:hAnsi="Times New Roman" w:cs="Times New Roman"/>
                <w:sz w:val="24"/>
                <w:szCs w:val="24"/>
                <w:lang w:val="en-US" w:eastAsia="ru-RU"/>
              </w:rPr>
              <w:t>103.1</w:t>
            </w:r>
          </w:p>
        </w:tc>
      </w:tr>
    </w:tbl>
    <w:p w:rsidR="00A2266F" w:rsidRPr="00E27EED" w:rsidRDefault="00A2266F" w:rsidP="000B0C64">
      <w:pPr>
        <w:spacing w:after="0" w:line="240" w:lineRule="auto"/>
        <w:ind w:firstLine="567"/>
        <w:jc w:val="both"/>
        <w:rPr>
          <w:rFonts w:ascii="Times New Roman" w:hAnsi="Times New Roman"/>
          <w:sz w:val="24"/>
          <w:szCs w:val="28"/>
          <w:lang w:val="en-US"/>
        </w:rPr>
      </w:pPr>
    </w:p>
    <w:p w:rsidR="00DF4272" w:rsidRPr="00E27EED" w:rsidRDefault="00E67371" w:rsidP="000B0C64">
      <w:pPr>
        <w:pStyle w:val="1"/>
        <w:jc w:val="both"/>
        <w:rPr>
          <w:rStyle w:val="s19"/>
          <w:b/>
          <w:color w:val="auto"/>
          <w:sz w:val="24"/>
          <w:lang w:val="en-US"/>
        </w:rPr>
      </w:pPr>
      <w:bookmarkStart w:id="10" w:name="_Toc233981987"/>
      <w:r w:rsidRPr="00E27EED">
        <w:rPr>
          <w:rStyle w:val="s19"/>
          <w:b/>
          <w:color w:val="auto"/>
          <w:sz w:val="24"/>
          <w:lang w:val="en-US"/>
        </w:rPr>
        <w:t>7. The Bank’s Credit Risk Management</w:t>
      </w:r>
      <w:bookmarkEnd w:id="10"/>
    </w:p>
    <w:p w:rsidR="00E67371" w:rsidRPr="00E27EED" w:rsidRDefault="00E67371" w:rsidP="000B0C64">
      <w:pPr>
        <w:pStyle w:val="pj"/>
        <w:rPr>
          <w:rStyle w:val="s19"/>
          <w:b/>
          <w:color w:val="auto"/>
          <w:lang w:val="en-US"/>
        </w:rPr>
      </w:pPr>
      <w:r w:rsidRPr="00E27EED">
        <w:rPr>
          <w:rStyle w:val="s19"/>
          <w:b/>
          <w:color w:val="auto"/>
          <w:lang w:val="en-US"/>
        </w:rPr>
        <w:t>Criteria and Approaches to Credit Risk Management</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en-US"/>
        </w:rPr>
      </w:pPr>
      <w:r w:rsidRPr="00E27EED">
        <w:rPr>
          <w:rFonts w:ascii="Times New Roman" w:hAnsi="Times New Roman" w:cs="Times New Roman"/>
          <w:sz w:val="24"/>
          <w:szCs w:val="24"/>
          <w:lang w:val="en-US"/>
        </w:rPr>
        <w:t>The Bank manages credit risks in accordance with the following key principles:</w:t>
      </w:r>
    </w:p>
    <w:p w:rsidR="00E67371" w:rsidRPr="00E27EED" w:rsidRDefault="009B0995"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A s</w:t>
      </w:r>
      <w:r w:rsidR="00E67371" w:rsidRPr="00E27EED">
        <w:rPr>
          <w:rFonts w:ascii="Times New Roman" w:hAnsi="Times New Roman" w:cs="Times New Roman"/>
          <w:sz w:val="24"/>
          <w:szCs w:val="24"/>
          <w:lang w:val="en-US"/>
        </w:rPr>
        <w:t>ystematic and comprehensive approach;</w:t>
      </w:r>
    </w:p>
    <w:p w:rsidR="00E67371" w:rsidRPr="00E27EED" w:rsidRDefault="009B0995"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E67371" w:rsidRPr="00E27EED">
        <w:rPr>
          <w:rFonts w:ascii="Times New Roman" w:hAnsi="Times New Roman" w:cs="Times New Roman"/>
          <w:sz w:val="24"/>
          <w:szCs w:val="24"/>
          <w:lang w:val="en-US"/>
        </w:rPr>
        <w:t>ethodological consistency;</w:t>
      </w:r>
    </w:p>
    <w:p w:rsidR="00E67371" w:rsidRPr="00E27EED" w:rsidRDefault="009B0995"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Segregation </w:t>
      </w:r>
      <w:r w:rsidR="00E67371" w:rsidRPr="00E27EED">
        <w:rPr>
          <w:rFonts w:ascii="Times New Roman" w:hAnsi="Times New Roman" w:cs="Times New Roman"/>
          <w:sz w:val="24"/>
          <w:szCs w:val="24"/>
          <w:lang w:val="en-US"/>
        </w:rPr>
        <w:t>of authority in the credit decision-making process;</w:t>
      </w:r>
    </w:p>
    <w:p w:rsidR="00E67371" w:rsidRPr="00E27EED" w:rsidRDefault="009B0995"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E67371" w:rsidRPr="00E27EED">
        <w:rPr>
          <w:rFonts w:ascii="Times New Roman" w:hAnsi="Times New Roman" w:cs="Times New Roman"/>
          <w:sz w:val="24"/>
          <w:szCs w:val="24"/>
          <w:lang w:val="en-US"/>
        </w:rPr>
        <w:t>ollateralization of credit transactions.</w:t>
      </w:r>
    </w:p>
    <w:p w:rsidR="00E67371" w:rsidRPr="00E27EED" w:rsidRDefault="00E67371" w:rsidP="000B0C64">
      <w:pPr>
        <w:widowControl w:val="0"/>
        <w:autoSpaceDE w:val="0"/>
        <w:autoSpaceDN w:val="0"/>
        <w:adjustRightInd w:val="0"/>
        <w:spacing w:after="0" w:line="240" w:lineRule="auto"/>
        <w:ind w:firstLine="709"/>
        <w:jc w:val="both"/>
        <w:rPr>
          <w:rFonts w:ascii="Times New Roman" w:hAnsi="Times New Roman" w:cs="Times New Roman"/>
          <w:b/>
          <w:bCs/>
          <w:sz w:val="24"/>
          <w:szCs w:val="24"/>
          <w:lang w:val="en-US"/>
        </w:rPr>
      </w:pPr>
      <w:r w:rsidRPr="00E27EED">
        <w:rPr>
          <w:rFonts w:ascii="Times New Roman" w:hAnsi="Times New Roman" w:cs="Times New Roman"/>
          <w:sz w:val="24"/>
          <w:szCs w:val="24"/>
          <w:lang w:val="en-US"/>
        </w:rPr>
        <w:t xml:space="preserve">The principle of a systematic and comprehensive approach involves using a comprehensive and balanced approach to credit risk management, both for the Bank’s overall loan portfolio and for its individual segments, including transactions with specific counterparties (a group of related (interconnected) borrowers (individuals, </w:t>
      </w:r>
      <w:r w:rsidR="00E27EED">
        <w:rPr>
          <w:rFonts w:ascii="Times New Roman" w:hAnsi="Times New Roman" w:cs="Times New Roman"/>
          <w:sz w:val="24"/>
          <w:szCs w:val="24"/>
          <w:lang w:val="en-US"/>
        </w:rPr>
        <w:t>customer</w:t>
      </w:r>
      <w:r w:rsidRPr="00E27EED">
        <w:rPr>
          <w:rFonts w:ascii="Times New Roman" w:hAnsi="Times New Roman" w:cs="Times New Roman"/>
          <w:sz w:val="24"/>
          <w:szCs w:val="24"/>
          <w:lang w:val="en-US"/>
        </w:rPr>
        <w:t>s, counterparties). This principle includes the following procedures:</w:t>
      </w:r>
    </w:p>
    <w:p w:rsidR="00E67371" w:rsidRPr="00E27EED" w:rsidRDefault="009B0995"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00E67371" w:rsidRPr="00E27EED">
        <w:rPr>
          <w:rFonts w:ascii="Times New Roman" w:hAnsi="Times New Roman" w:cs="Times New Roman"/>
          <w:sz w:val="24"/>
          <w:szCs w:val="24"/>
          <w:lang w:val="en-US"/>
        </w:rPr>
        <w:t>isk identification;</w:t>
      </w:r>
    </w:p>
    <w:p w:rsidR="00E67371" w:rsidRPr="00E27EED" w:rsidRDefault="009B0995"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00E67371" w:rsidRPr="00E27EED">
        <w:rPr>
          <w:rFonts w:ascii="Times New Roman" w:hAnsi="Times New Roman" w:cs="Times New Roman"/>
          <w:sz w:val="24"/>
          <w:szCs w:val="24"/>
          <w:lang w:val="en-US"/>
        </w:rPr>
        <w:t>isk analysis and assessment;</w:t>
      </w:r>
    </w:p>
    <w:p w:rsidR="00E67371" w:rsidRPr="00E27EED" w:rsidRDefault="009B0995"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w:t>
      </w:r>
      <w:r w:rsidR="00E67371" w:rsidRPr="00E27EED">
        <w:rPr>
          <w:rFonts w:ascii="Times New Roman" w:hAnsi="Times New Roman" w:cs="Times New Roman"/>
          <w:sz w:val="24"/>
          <w:szCs w:val="24"/>
          <w:lang w:val="en-US"/>
        </w:rPr>
        <w:t>isk acceptance and/or mitigation;</w:t>
      </w:r>
    </w:p>
    <w:p w:rsidR="00E67371" w:rsidRPr="00E27EED" w:rsidRDefault="009B0995"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E67371" w:rsidRPr="00E27EED">
        <w:rPr>
          <w:rFonts w:ascii="Times New Roman" w:hAnsi="Times New Roman" w:cs="Times New Roman"/>
          <w:sz w:val="24"/>
          <w:szCs w:val="24"/>
          <w:lang w:val="en-US"/>
        </w:rPr>
        <w:t>onitoring the level of risk.</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en-US"/>
        </w:rPr>
      </w:pPr>
      <w:r w:rsidRPr="00E27EED">
        <w:rPr>
          <w:rFonts w:ascii="Times New Roman" w:hAnsi="Times New Roman" w:cs="Times New Roman"/>
          <w:sz w:val="24"/>
          <w:szCs w:val="24"/>
          <w:lang w:val="en-US"/>
        </w:rPr>
        <w:t xml:space="preserve">Credit risk management covers all stages of the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process: review of </w:t>
      </w:r>
      <w:r w:rsidR="009B0995">
        <w:rPr>
          <w:rFonts w:ascii="Times New Roman" w:hAnsi="Times New Roman" w:cs="Times New Roman"/>
          <w:sz w:val="24"/>
          <w:szCs w:val="24"/>
          <w:lang w:val="en-US"/>
        </w:rPr>
        <w:t>a</w:t>
      </w:r>
      <w:r w:rsidRPr="00E27EED">
        <w:rPr>
          <w:rFonts w:ascii="Times New Roman" w:hAnsi="Times New Roman" w:cs="Times New Roman"/>
          <w:sz w:val="24"/>
          <w:szCs w:val="24"/>
          <w:lang w:val="en-US"/>
        </w:rPr>
        <w:t xml:space="preserv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application, structuring and evaluation of the potential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transaction, decision-making on the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application, loan administration (drafting the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agreement/ li</w:t>
      </w:r>
      <w:r w:rsidR="009B0995">
        <w:rPr>
          <w:rFonts w:ascii="Times New Roman" w:hAnsi="Times New Roman" w:cs="Times New Roman"/>
          <w:sz w:val="24"/>
          <w:szCs w:val="24"/>
          <w:lang w:val="en-US"/>
        </w:rPr>
        <w:t>mit</w:t>
      </w:r>
      <w:r w:rsidRPr="00E27EED">
        <w:rPr>
          <w:rFonts w:ascii="Times New Roman" w:hAnsi="Times New Roman" w:cs="Times New Roman"/>
          <w:sz w:val="24"/>
          <w:szCs w:val="24"/>
          <w:lang w:val="en-US"/>
        </w:rPr>
        <w:t xml:space="preserve">, maintaining the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file, and </w:t>
      </w:r>
      <w:r w:rsidRPr="00E27EED">
        <w:rPr>
          <w:rFonts w:ascii="Times New Roman" w:hAnsi="Times New Roman" w:cs="Times New Roman"/>
          <w:spacing w:val="-5"/>
          <w:sz w:val="24"/>
          <w:szCs w:val="24"/>
          <w:lang w:val="en-US"/>
        </w:rPr>
        <w:t>so on</w:t>
      </w:r>
      <w:r w:rsidRPr="00E27EED">
        <w:rPr>
          <w:rFonts w:ascii="Times New Roman" w:hAnsi="Times New Roman" w:cs="Times New Roman"/>
          <w:sz w:val="24"/>
          <w:szCs w:val="24"/>
          <w:lang w:val="en-US"/>
        </w:rPr>
        <w:t xml:space="preserve">), monitoring the intended use of the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w:t>
      </w:r>
      <w:r w:rsidR="009B0995">
        <w:rPr>
          <w:rFonts w:ascii="Times New Roman" w:hAnsi="Times New Roman" w:cs="Times New Roman"/>
          <w:sz w:val="24"/>
          <w:szCs w:val="24"/>
          <w:lang w:val="en-US"/>
        </w:rPr>
        <w:t>limit</w:t>
      </w:r>
      <w:r w:rsidRPr="00E27EED">
        <w:rPr>
          <w:rFonts w:ascii="Times New Roman" w:hAnsi="Times New Roman" w:cs="Times New Roman"/>
          <w:sz w:val="24"/>
          <w:szCs w:val="24"/>
          <w:lang w:val="en-US"/>
        </w:rPr>
        <w:t xml:space="preserve">), monitoring the counterparty’s financial condition, servicing the debt, and ensuring the counterparty fulfills its non-financial obligations until the </w:t>
      </w:r>
      <w:r w:rsidR="009B0995">
        <w:rPr>
          <w:rFonts w:ascii="Times New Roman" w:hAnsi="Times New Roman" w:cs="Times New Roman"/>
          <w:sz w:val="24"/>
          <w:szCs w:val="24"/>
          <w:lang w:val="en-US"/>
        </w:rPr>
        <w:t>credit</w:t>
      </w:r>
      <w:r w:rsidRPr="00E27EED">
        <w:rPr>
          <w:rFonts w:ascii="Times New Roman" w:hAnsi="Times New Roman" w:cs="Times New Roman"/>
          <w:sz w:val="24"/>
          <w:szCs w:val="24"/>
          <w:lang w:val="en-US"/>
        </w:rPr>
        <w:t xml:space="preserve"> transaction is fully settled (closing the credit li</w:t>
      </w:r>
      <w:r w:rsidR="009B0995">
        <w:rPr>
          <w:rFonts w:ascii="Times New Roman" w:hAnsi="Times New Roman" w:cs="Times New Roman"/>
          <w:sz w:val="24"/>
          <w:szCs w:val="24"/>
          <w:lang w:val="en-US"/>
        </w:rPr>
        <w:t>mit</w:t>
      </w:r>
      <w:r w:rsidRPr="00E27EED">
        <w:rPr>
          <w:rFonts w:ascii="Times New Roman" w:hAnsi="Times New Roman" w:cs="Times New Roman"/>
          <w:sz w:val="24"/>
          <w:szCs w:val="24"/>
          <w:lang w:val="en-US"/>
        </w:rPr>
        <w:t>). Since transactions involving credit risk may entail not only credit risk but also other types of risk (</w:t>
      </w:r>
      <w:r w:rsidR="009B0995">
        <w:rPr>
          <w:rFonts w:ascii="Times New Roman" w:hAnsi="Times New Roman" w:cs="Times New Roman"/>
          <w:sz w:val="24"/>
          <w:szCs w:val="24"/>
          <w:lang w:val="en-US"/>
        </w:rPr>
        <w:t>foreign exchange</w:t>
      </w:r>
      <w:r w:rsidRPr="00E27EED">
        <w:rPr>
          <w:rFonts w:ascii="Times New Roman" w:hAnsi="Times New Roman" w:cs="Times New Roman"/>
          <w:sz w:val="24"/>
          <w:szCs w:val="24"/>
          <w:lang w:val="en-US"/>
        </w:rPr>
        <w:t>, market, legal, tax, and so on), in accordance with this principle, the assessment of risks associated with such transactions must be comprehensive (covering all types of risks that arise and their aggregate).</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lang w:val="en-US"/>
        </w:rPr>
      </w:pPr>
      <w:r w:rsidRPr="00E27EED">
        <w:rPr>
          <w:rFonts w:ascii="Times New Roman" w:hAnsi="Times New Roman" w:cs="Times New Roman"/>
          <w:sz w:val="24"/>
          <w:szCs w:val="24"/>
          <w:lang w:val="en-US"/>
        </w:rPr>
        <w:t xml:space="preserve">The principle of methodological consistency allows for the application, both within the Bank and across the VTB Group as a whole, of a methodology for identifying and quantitatively assessing credit risk that is uniform and appropriate to the nature and scale of the transactions conducted. The application of this principle entails the Bank’s continuous improvement of methodological documents concerning the analysis of assumed credit risks and other credit risk management issues, as well as </w:t>
      </w:r>
      <w:r w:rsidR="00F97CF7">
        <w:rPr>
          <w:rFonts w:ascii="Times New Roman" w:hAnsi="Times New Roman" w:cs="Times New Roman"/>
          <w:sz w:val="24"/>
          <w:szCs w:val="24"/>
          <w:lang w:val="en-US"/>
        </w:rPr>
        <w:t xml:space="preserve">the </w:t>
      </w:r>
      <w:r w:rsidRPr="00E27EED">
        <w:rPr>
          <w:rFonts w:ascii="Times New Roman" w:hAnsi="Times New Roman" w:cs="Times New Roman"/>
          <w:sz w:val="24"/>
          <w:szCs w:val="24"/>
          <w:lang w:val="en-US"/>
        </w:rPr>
        <w:t xml:space="preserve">monitoring of compliance by the Bank’s structural </w:t>
      </w:r>
      <w:r w:rsidR="009B0995">
        <w:rPr>
          <w:rFonts w:ascii="Times New Roman" w:hAnsi="Times New Roman" w:cs="Times New Roman"/>
          <w:sz w:val="24"/>
          <w:szCs w:val="24"/>
          <w:lang w:val="en-US"/>
        </w:rPr>
        <w:t>subdivisions</w:t>
      </w:r>
      <w:r w:rsidRPr="00E27EED">
        <w:rPr>
          <w:rFonts w:ascii="Times New Roman" w:hAnsi="Times New Roman" w:cs="Times New Roman"/>
          <w:sz w:val="24"/>
          <w:szCs w:val="24"/>
          <w:lang w:val="en-US"/>
        </w:rPr>
        <w:t xml:space="preserve"> with the requirements and recommendations set forth in internal documents. </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en-US"/>
        </w:rPr>
      </w:pPr>
      <w:r w:rsidRPr="00E27EED">
        <w:rPr>
          <w:rFonts w:ascii="Times New Roman" w:hAnsi="Times New Roman" w:cs="Times New Roman"/>
          <w:sz w:val="24"/>
          <w:szCs w:val="24"/>
          <w:lang w:val="en-US"/>
        </w:rPr>
        <w:t xml:space="preserve">The Bank’s local systems of internal documents are </w:t>
      </w:r>
      <w:r w:rsidR="009B0995">
        <w:rPr>
          <w:rFonts w:ascii="Times New Roman" w:hAnsi="Times New Roman" w:cs="Times New Roman"/>
          <w:sz w:val="24"/>
          <w:szCs w:val="24"/>
          <w:lang w:val="en-US"/>
        </w:rPr>
        <w:t>formed</w:t>
      </w:r>
      <w:r w:rsidRPr="00E27EED">
        <w:rPr>
          <w:rFonts w:ascii="Times New Roman" w:hAnsi="Times New Roman" w:cs="Times New Roman"/>
          <w:sz w:val="24"/>
          <w:szCs w:val="24"/>
          <w:lang w:val="en-US"/>
        </w:rPr>
        <w:t xml:space="preserve"> based on practice-driven approaches—agreed upon within the VTB Group—regarding the structure, subject matter, and content of the documents issued, taking into account the specific nature of the Bank’s business profile and the particularities of national regulation.</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lang w:val="en-US"/>
        </w:rPr>
      </w:pPr>
      <w:r w:rsidRPr="00E27EED">
        <w:rPr>
          <w:rFonts w:ascii="Times New Roman" w:hAnsi="Times New Roman" w:cs="Times New Roman"/>
          <w:sz w:val="24"/>
          <w:szCs w:val="24"/>
          <w:lang w:val="en-US"/>
        </w:rPr>
        <w:t>The methodology for assessing credit risk and determining its acceptable level is based on:</w:t>
      </w:r>
    </w:p>
    <w:p w:rsidR="00E67371" w:rsidRPr="00E27EED" w:rsidRDefault="009B0995"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E67371" w:rsidRPr="00E27EED">
        <w:rPr>
          <w:rFonts w:ascii="Times New Roman" w:hAnsi="Times New Roman" w:cs="Times New Roman"/>
          <w:sz w:val="24"/>
          <w:szCs w:val="24"/>
          <w:lang w:val="en-US"/>
        </w:rPr>
        <w:t xml:space="preserve">etermining the level of credit risk </w:t>
      </w:r>
      <w:r>
        <w:rPr>
          <w:rFonts w:ascii="Times New Roman" w:hAnsi="Times New Roman" w:cs="Times New Roman"/>
          <w:sz w:val="24"/>
          <w:szCs w:val="24"/>
          <w:lang w:val="en-US"/>
        </w:rPr>
        <w:t>accepted</w:t>
      </w:r>
      <w:r w:rsidR="00E67371" w:rsidRPr="00E27EED">
        <w:rPr>
          <w:rFonts w:ascii="Times New Roman" w:hAnsi="Times New Roman" w:cs="Times New Roman"/>
          <w:sz w:val="24"/>
          <w:szCs w:val="24"/>
          <w:lang w:val="en-US"/>
        </w:rPr>
        <w:t xml:space="preserve"> by the Bank for a counterparty based on its credit rating, as established in accordance with the Bank’s internal documents;</w:t>
      </w:r>
    </w:p>
    <w:p w:rsidR="00E67371" w:rsidRPr="00E27EED" w:rsidRDefault="009B0995"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E67371" w:rsidRPr="00E27EED">
        <w:rPr>
          <w:rFonts w:ascii="Times New Roman" w:hAnsi="Times New Roman" w:cs="Times New Roman"/>
          <w:sz w:val="24"/>
          <w:szCs w:val="24"/>
          <w:lang w:val="en-US"/>
        </w:rPr>
        <w:t>etermining the risk category of a credit transaction based on the requirements of the National Bank of the Republic of Kazakhstan and/or the Agency for Regulation of the Financial Market regarding the formation of reserves (provisions) to cover potential losses on credit transactions, as well as the Bank’s own methodology in accordance with its internal documents;</w:t>
      </w:r>
    </w:p>
    <w:p w:rsidR="00E67371" w:rsidRPr="00E27EED" w:rsidRDefault="009B0995"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E67371" w:rsidRPr="00E27EED">
        <w:rPr>
          <w:rFonts w:ascii="Times New Roman" w:hAnsi="Times New Roman" w:cs="Times New Roman"/>
          <w:sz w:val="24"/>
          <w:szCs w:val="24"/>
          <w:lang w:val="en-US"/>
        </w:rPr>
        <w:t>ifferentiating approaches to credit risk assessment depending on the counterparty category and the type of credit product;</w:t>
      </w:r>
    </w:p>
    <w:p w:rsidR="00E67371" w:rsidRPr="00E27EED" w:rsidRDefault="009B0995"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Possibility </w:t>
      </w:r>
      <w:r w:rsidR="00E67371" w:rsidRPr="00E27EED">
        <w:rPr>
          <w:rFonts w:ascii="Times New Roman" w:hAnsi="Times New Roman" w:cs="Times New Roman"/>
          <w:sz w:val="24"/>
          <w:szCs w:val="24"/>
          <w:lang w:val="en-US"/>
        </w:rPr>
        <w:t>to use hedging (insurance) instruments for credit risks a</w:t>
      </w:r>
      <w:r>
        <w:rPr>
          <w:rFonts w:ascii="Times New Roman" w:hAnsi="Times New Roman" w:cs="Times New Roman"/>
          <w:sz w:val="24"/>
          <w:szCs w:val="24"/>
          <w:lang w:val="en-US"/>
        </w:rPr>
        <w:t xml:space="preserve">ccepted </w:t>
      </w:r>
      <w:r w:rsidR="00E67371" w:rsidRPr="00E27EED">
        <w:rPr>
          <w:rFonts w:ascii="Times New Roman" w:hAnsi="Times New Roman" w:cs="Times New Roman"/>
          <w:sz w:val="24"/>
          <w:szCs w:val="24"/>
          <w:lang w:val="en-US"/>
        </w:rPr>
        <w:t>by the Bank;</w:t>
      </w:r>
    </w:p>
    <w:p w:rsidR="00E67371" w:rsidRPr="00E27EED" w:rsidRDefault="009B0995"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L</w:t>
      </w:r>
      <w:r w:rsidR="00E67371" w:rsidRPr="00E27EED">
        <w:rPr>
          <w:rFonts w:ascii="Times New Roman" w:hAnsi="Times New Roman" w:cs="Times New Roman"/>
          <w:sz w:val="24"/>
          <w:szCs w:val="24"/>
          <w:lang w:val="en-US"/>
        </w:rPr>
        <w:t xml:space="preserve">inking the amount of fees (interest rates/commissions) payable to the Bank on credit transactions to the </w:t>
      </w:r>
      <w:r w:rsidR="00E27EED">
        <w:rPr>
          <w:rFonts w:ascii="Times New Roman" w:hAnsi="Times New Roman" w:cs="Times New Roman"/>
          <w:sz w:val="24"/>
          <w:szCs w:val="24"/>
          <w:lang w:val="en-US"/>
        </w:rPr>
        <w:t>customer</w:t>
      </w:r>
      <w:r w:rsidR="00E67371" w:rsidRPr="00E27EED">
        <w:rPr>
          <w:rFonts w:ascii="Times New Roman" w:hAnsi="Times New Roman" w:cs="Times New Roman"/>
          <w:sz w:val="24"/>
          <w:szCs w:val="24"/>
          <w:lang w:val="en-US"/>
        </w:rPr>
        <w:t>’s credit rating and the type of credit product.</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lang w:val="en-US"/>
        </w:rPr>
      </w:pPr>
      <w:r w:rsidRPr="00E27EED">
        <w:rPr>
          <w:rFonts w:ascii="Times New Roman" w:hAnsi="Times New Roman" w:cs="Times New Roman"/>
          <w:sz w:val="24"/>
          <w:szCs w:val="24"/>
          <w:lang w:val="en-US"/>
        </w:rPr>
        <w:t xml:space="preserve">The principle of </w:t>
      </w:r>
      <w:r w:rsidR="009B0995">
        <w:rPr>
          <w:rFonts w:ascii="Times New Roman" w:hAnsi="Times New Roman" w:cs="Times New Roman"/>
          <w:sz w:val="24"/>
          <w:szCs w:val="24"/>
          <w:lang w:val="en-US"/>
        </w:rPr>
        <w:t xml:space="preserve">segregation </w:t>
      </w:r>
      <w:r w:rsidRPr="00E27EED">
        <w:rPr>
          <w:rFonts w:ascii="Times New Roman" w:hAnsi="Times New Roman" w:cs="Times New Roman"/>
          <w:sz w:val="24"/>
          <w:szCs w:val="24"/>
          <w:lang w:val="en-US"/>
        </w:rPr>
        <w:t>of authority in credit decision-making allows for a balanced integration of centralized and decentralized decision-making when conducting operations involving the Bank’s a</w:t>
      </w:r>
      <w:r w:rsidR="00DB7BD3">
        <w:rPr>
          <w:rFonts w:ascii="Times New Roman" w:hAnsi="Times New Roman" w:cs="Times New Roman"/>
          <w:sz w:val="24"/>
          <w:szCs w:val="24"/>
          <w:lang w:val="en-US"/>
        </w:rPr>
        <w:t xml:space="preserve">cceptance </w:t>
      </w:r>
      <w:r w:rsidRPr="00E27EED">
        <w:rPr>
          <w:rFonts w:ascii="Times New Roman" w:hAnsi="Times New Roman" w:cs="Times New Roman"/>
          <w:sz w:val="24"/>
          <w:szCs w:val="24"/>
          <w:lang w:val="en-US"/>
        </w:rPr>
        <w:t>of credit risk, provided that potential conflicts of interest are prevented. The Bank implements this principle by fulfilling the following conditions:</w:t>
      </w:r>
    </w:p>
    <w:p w:rsidR="00E67371" w:rsidRPr="00E27EED" w:rsidRDefault="00DB7BD3" w:rsidP="001C68BB">
      <w:pPr>
        <w:numPr>
          <w:ilvl w:val="0"/>
          <w:numId w:val="19"/>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E67371" w:rsidRPr="00E27EED">
        <w:rPr>
          <w:rFonts w:ascii="Times New Roman" w:hAnsi="Times New Roman" w:cs="Times New Roman"/>
          <w:sz w:val="24"/>
          <w:szCs w:val="24"/>
          <w:lang w:val="en-US"/>
        </w:rPr>
        <w:t xml:space="preserve">he existence of a system for delegating authority to </w:t>
      </w:r>
      <w:r>
        <w:rPr>
          <w:rFonts w:ascii="Times New Roman" w:hAnsi="Times New Roman" w:cs="Times New Roman"/>
          <w:sz w:val="24"/>
          <w:szCs w:val="24"/>
          <w:lang w:val="en-US"/>
        </w:rPr>
        <w:t>accept</w:t>
      </w:r>
      <w:r w:rsidR="00E67371" w:rsidRPr="00E27EED">
        <w:rPr>
          <w:rFonts w:ascii="Times New Roman" w:hAnsi="Times New Roman" w:cs="Times New Roman"/>
          <w:sz w:val="24"/>
          <w:szCs w:val="24"/>
          <w:lang w:val="en-US"/>
        </w:rPr>
        <w:t xml:space="preserve"> credit risk (which provides for a clear delineation of the scope of authority for specific participants in the credit process), as set forth in the Bank’s internal documents. Regular review of authority based on monitoring of the established credit portfolio (decisions made);</w:t>
      </w:r>
    </w:p>
    <w:p w:rsidR="00E67371" w:rsidRPr="00E27EED" w:rsidRDefault="00DB7BD3" w:rsidP="001C68BB">
      <w:pPr>
        <w:numPr>
          <w:ilvl w:val="0"/>
          <w:numId w:val="19"/>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67371" w:rsidRPr="00E27EED">
        <w:rPr>
          <w:rFonts w:ascii="Times New Roman" w:hAnsi="Times New Roman" w:cs="Times New Roman"/>
          <w:sz w:val="24"/>
          <w:szCs w:val="24"/>
          <w:lang w:val="en-US"/>
        </w:rPr>
        <w:t xml:space="preserve"> predominantly collegial approach to decision-making on credit transactions involving credit risk, particularly when such transactions involve large amounts, long terms, or pricing terms that differ from standard conditions;</w:t>
      </w:r>
    </w:p>
    <w:p w:rsidR="00E67371" w:rsidRPr="00E27EED" w:rsidRDefault="00DB7BD3" w:rsidP="001C68BB">
      <w:pPr>
        <w:numPr>
          <w:ilvl w:val="0"/>
          <w:numId w:val="19"/>
        </w:numPr>
        <w:tabs>
          <w:tab w:val="clear" w:pos="720"/>
        </w:tabs>
        <w:spacing w:after="0" w:line="24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E67371" w:rsidRPr="00E27EED">
        <w:rPr>
          <w:rFonts w:ascii="Times New Roman" w:hAnsi="Times New Roman" w:cs="Times New Roman"/>
          <w:sz w:val="24"/>
          <w:szCs w:val="24"/>
          <w:lang w:val="en-US"/>
        </w:rPr>
        <w:t xml:space="preserve">eparation of the functions of initiating/structuring a credit transaction, its </w:t>
      </w:r>
      <w:r>
        <w:rPr>
          <w:rFonts w:ascii="Times New Roman" w:hAnsi="Times New Roman" w:cs="Times New Roman"/>
          <w:sz w:val="24"/>
          <w:szCs w:val="24"/>
          <w:lang w:val="en-US"/>
        </w:rPr>
        <w:t>expert examination</w:t>
      </w:r>
      <w:r w:rsidR="00E67371" w:rsidRPr="00E27EED">
        <w:rPr>
          <w:rFonts w:ascii="Times New Roman" w:hAnsi="Times New Roman" w:cs="Times New Roman"/>
          <w:sz w:val="24"/>
          <w:szCs w:val="24"/>
          <w:lang w:val="en-US"/>
        </w:rPr>
        <w:t>, and control.</w:t>
      </w:r>
    </w:p>
    <w:p w:rsidR="00E67371" w:rsidRPr="00E27EED"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en-US"/>
        </w:rPr>
      </w:pPr>
      <w:r w:rsidRPr="00E27EED">
        <w:rPr>
          <w:rFonts w:ascii="Times New Roman" w:hAnsi="Times New Roman" w:cs="Times New Roman"/>
          <w:sz w:val="24"/>
          <w:szCs w:val="24"/>
          <w:lang w:val="en-US"/>
        </w:rPr>
        <w:t>The principle of collateralization generally allows the Bank to require counterparties to provide collateral for transactions involving credit risk.</w:t>
      </w:r>
    </w:p>
    <w:p w:rsidR="00E67371" w:rsidRPr="00E27EED" w:rsidRDefault="00E67371" w:rsidP="000B0C64">
      <w:pPr>
        <w:widowControl w:val="0"/>
        <w:autoSpaceDE w:val="0"/>
        <w:autoSpaceDN w:val="0"/>
        <w:adjustRightInd w:val="0"/>
        <w:spacing w:after="0" w:line="240" w:lineRule="auto"/>
        <w:ind w:firstLine="567"/>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In managing credit risk, the Bank uses the following criteria and approaches:</w:t>
      </w:r>
    </w:p>
    <w:p w:rsidR="00E67371" w:rsidRPr="00E27EED" w:rsidRDefault="00DB7BD3"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lastRenderedPageBreak/>
        <w:t>Extending credit to</w:t>
      </w:r>
      <w:r w:rsidR="00E67371" w:rsidRPr="00E27EED">
        <w:rPr>
          <w:rStyle w:val="s19"/>
          <w:rFonts w:eastAsiaTheme="minorEastAsia"/>
          <w:color w:val="000000"/>
          <w:sz w:val="24"/>
          <w:szCs w:val="24"/>
          <w:lang w:val="en-US" w:eastAsia="ru-RU"/>
        </w:rPr>
        <w:t xml:space="preserve"> borrowers on terms of repayment, maturity, interest, designated use, and collateral;</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E</w:t>
      </w:r>
      <w:r w:rsidR="00E67371" w:rsidRPr="006941E6">
        <w:rPr>
          <w:rStyle w:val="s19"/>
          <w:rFonts w:eastAsiaTheme="minorEastAsia"/>
          <w:color w:val="000000"/>
          <w:sz w:val="24"/>
          <w:szCs w:val="24"/>
          <w:lang w:val="en-US" w:eastAsia="ru-RU"/>
        </w:rPr>
        <w:t>nsuring that the credit risk assessment and management system is adequate for the volume</w:t>
      </w:r>
      <w:r w:rsidR="00E67371" w:rsidRPr="00E27EED">
        <w:rPr>
          <w:rStyle w:val="s19"/>
          <w:rFonts w:eastAsiaTheme="minorEastAsia"/>
          <w:color w:val="000000"/>
          <w:sz w:val="24"/>
          <w:szCs w:val="24"/>
          <w:lang w:val="en-US" w:eastAsia="ru-RU"/>
        </w:rPr>
        <w:t xml:space="preserve"> and complexity of the Bank’s credit-risk-bearing transactions;</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C</w:t>
      </w:r>
      <w:r w:rsidR="00E67371" w:rsidRPr="00E27EED">
        <w:rPr>
          <w:rStyle w:val="s19"/>
          <w:rFonts w:eastAsiaTheme="minorEastAsia"/>
          <w:color w:val="000000"/>
          <w:sz w:val="24"/>
          <w:szCs w:val="24"/>
          <w:lang w:val="en-US" w:eastAsia="ru-RU"/>
        </w:rPr>
        <w:t xml:space="preserve">onducting transactions involving credit risk based on an analysis of a specific </w:t>
      </w:r>
      <w:r>
        <w:rPr>
          <w:rStyle w:val="s19"/>
          <w:rFonts w:eastAsiaTheme="minorEastAsia"/>
          <w:color w:val="000000"/>
          <w:sz w:val="24"/>
          <w:szCs w:val="24"/>
          <w:lang w:val="en-US" w:eastAsia="ru-RU"/>
        </w:rPr>
        <w:t>credit</w:t>
      </w:r>
      <w:r w:rsidR="00E67371" w:rsidRPr="00E27EED">
        <w:rPr>
          <w:rStyle w:val="s19"/>
          <w:rFonts w:eastAsiaTheme="minorEastAsia"/>
          <w:color w:val="000000"/>
          <w:sz w:val="24"/>
          <w:szCs w:val="24"/>
          <w:lang w:val="en-US" w:eastAsia="ru-RU"/>
        </w:rPr>
        <w:t xml:space="preserve"> application or investment transaction, or within a previously established credit limit, pursuant to a written decision (in paper or electronic form) of an authorized collegial body of the Bank or authorized Bank officials, in accordance with the nature and scope of the credit risk-taking authority delegated to them;</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P</w:t>
      </w:r>
      <w:r w:rsidR="00E67371" w:rsidRPr="00E27EED">
        <w:rPr>
          <w:rStyle w:val="s19"/>
          <w:rFonts w:eastAsiaTheme="minorEastAsia"/>
          <w:color w:val="000000"/>
          <w:sz w:val="24"/>
          <w:szCs w:val="24"/>
          <w:lang w:val="en-US" w:eastAsia="ru-RU"/>
        </w:rPr>
        <w:t>reventin</w:t>
      </w:r>
      <w:r>
        <w:rPr>
          <w:rStyle w:val="s19"/>
          <w:rFonts w:eastAsiaTheme="minorEastAsia"/>
          <w:color w:val="000000"/>
          <w:sz w:val="24"/>
          <w:szCs w:val="24"/>
          <w:lang w:val="en-US" w:eastAsia="ru-RU"/>
        </w:rPr>
        <w:t>g</w:t>
      </w:r>
      <w:r w:rsidR="00E67371" w:rsidRPr="00E27EED">
        <w:rPr>
          <w:rStyle w:val="s19"/>
          <w:rFonts w:eastAsiaTheme="minorEastAsia"/>
          <w:color w:val="000000"/>
          <w:sz w:val="24"/>
          <w:szCs w:val="24"/>
          <w:lang w:val="en-US" w:eastAsia="ru-RU"/>
        </w:rPr>
        <w:t xml:space="preserve"> conflicts of interest when making credit decisions, which is ensured by a clear separation of powers between the Bank’s initiating and expert </w:t>
      </w:r>
      <w:r>
        <w:rPr>
          <w:rStyle w:val="s19"/>
          <w:rFonts w:eastAsiaTheme="minorEastAsia"/>
          <w:color w:val="000000"/>
          <w:sz w:val="24"/>
          <w:szCs w:val="24"/>
          <w:lang w:val="en-US" w:eastAsia="ru-RU"/>
        </w:rPr>
        <w:t>subdivisions</w:t>
      </w:r>
      <w:r w:rsidR="00E67371" w:rsidRPr="00E27EED">
        <w:rPr>
          <w:rStyle w:val="s19"/>
          <w:rFonts w:eastAsiaTheme="minorEastAsia"/>
          <w:color w:val="000000"/>
          <w:sz w:val="24"/>
          <w:szCs w:val="24"/>
          <w:lang w:val="en-US" w:eastAsia="ru-RU"/>
        </w:rPr>
        <w:t xml:space="preserve"> and/or by setting limits on specific types of transactions;</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C</w:t>
      </w:r>
      <w:r w:rsidR="00E67371" w:rsidRPr="00E27EED">
        <w:rPr>
          <w:rStyle w:val="s19"/>
          <w:rFonts w:eastAsiaTheme="minorEastAsia"/>
          <w:color w:val="000000"/>
          <w:sz w:val="24"/>
          <w:szCs w:val="24"/>
          <w:lang w:val="en-US" w:eastAsia="ru-RU"/>
        </w:rPr>
        <w:t>ontinuous monitoring of credit-risk-bearing agreements and the borrower’s financial condition until the borrower has fully fulfilled its obligations to the Bank;</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E</w:t>
      </w:r>
      <w:r w:rsidR="00E67371" w:rsidRPr="00E27EED">
        <w:rPr>
          <w:rStyle w:val="s19"/>
          <w:rFonts w:eastAsiaTheme="minorEastAsia"/>
          <w:color w:val="000000"/>
          <w:sz w:val="24"/>
          <w:szCs w:val="24"/>
          <w:lang w:val="en-US" w:eastAsia="ru-RU"/>
        </w:rPr>
        <w:t xml:space="preserve">nsuring an optimal balance in the Bank’s </w:t>
      </w:r>
      <w:r>
        <w:rPr>
          <w:rStyle w:val="s19"/>
          <w:rFonts w:eastAsiaTheme="minorEastAsia"/>
          <w:color w:val="000000"/>
          <w:sz w:val="24"/>
          <w:szCs w:val="24"/>
          <w:lang w:val="en-US" w:eastAsia="ru-RU"/>
        </w:rPr>
        <w:t>credit</w:t>
      </w:r>
      <w:r w:rsidR="00E67371" w:rsidRPr="00E27EED">
        <w:rPr>
          <w:rStyle w:val="s19"/>
          <w:rFonts w:eastAsiaTheme="minorEastAsia"/>
          <w:color w:val="000000"/>
          <w:sz w:val="24"/>
          <w:szCs w:val="24"/>
          <w:lang w:val="en-US" w:eastAsia="ru-RU"/>
        </w:rPr>
        <w:t xml:space="preserve"> portfolio and funding base in terms of maturity, amounts, currency, and other conditions;</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E</w:t>
      </w:r>
      <w:r w:rsidR="00E67371" w:rsidRPr="00E27EED">
        <w:rPr>
          <w:rStyle w:val="s19"/>
          <w:rFonts w:eastAsiaTheme="minorEastAsia"/>
          <w:color w:val="000000"/>
          <w:sz w:val="24"/>
          <w:szCs w:val="24"/>
          <w:lang w:val="en-US" w:eastAsia="ru-RU"/>
        </w:rPr>
        <w:t xml:space="preserve">nsuring a balanced and proportionate structure of the </w:t>
      </w:r>
      <w:r>
        <w:rPr>
          <w:rStyle w:val="s19"/>
          <w:rFonts w:eastAsiaTheme="minorEastAsia"/>
          <w:color w:val="000000"/>
          <w:sz w:val="24"/>
          <w:szCs w:val="24"/>
          <w:lang w:val="en-US" w:eastAsia="ru-RU"/>
        </w:rPr>
        <w:t>credit</w:t>
      </w:r>
      <w:r w:rsidR="00E67371" w:rsidRPr="00E27EED">
        <w:rPr>
          <w:rStyle w:val="s19"/>
          <w:rFonts w:eastAsiaTheme="minorEastAsia"/>
          <w:color w:val="000000"/>
          <w:sz w:val="24"/>
          <w:szCs w:val="24"/>
          <w:lang w:val="en-US" w:eastAsia="ru-RU"/>
        </w:rPr>
        <w:t xml:space="preserve"> portfolio across </w:t>
      </w:r>
      <w:r>
        <w:rPr>
          <w:rStyle w:val="s19"/>
          <w:rFonts w:eastAsiaTheme="minorEastAsia"/>
          <w:color w:val="000000"/>
          <w:sz w:val="24"/>
          <w:szCs w:val="24"/>
          <w:lang w:val="en-US" w:eastAsia="ru-RU"/>
        </w:rPr>
        <w:t>credit</w:t>
      </w:r>
      <w:r w:rsidR="00E67371" w:rsidRPr="00E27EED">
        <w:rPr>
          <w:rStyle w:val="s19"/>
          <w:rFonts w:eastAsiaTheme="minorEastAsia"/>
          <w:color w:val="000000"/>
          <w:sz w:val="24"/>
          <w:szCs w:val="24"/>
          <w:lang w:val="en-US" w:eastAsia="ru-RU"/>
        </w:rPr>
        <w:t xml:space="preserve"> products and individual borrower categories;</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U</w:t>
      </w:r>
      <w:r w:rsidR="00E67371" w:rsidRPr="00E27EED">
        <w:rPr>
          <w:rStyle w:val="s19"/>
          <w:rFonts w:eastAsiaTheme="minorEastAsia"/>
          <w:color w:val="000000"/>
          <w:sz w:val="24"/>
          <w:szCs w:val="24"/>
          <w:lang w:val="en-US" w:eastAsia="ru-RU"/>
        </w:rPr>
        <w:t>tiliz</w:t>
      </w:r>
      <w:r>
        <w:rPr>
          <w:rStyle w:val="s19"/>
          <w:rFonts w:eastAsiaTheme="minorEastAsia"/>
          <w:color w:val="000000"/>
          <w:sz w:val="24"/>
          <w:szCs w:val="24"/>
          <w:lang w:val="en-US" w:eastAsia="ru-RU"/>
        </w:rPr>
        <w:t>ing</w:t>
      </w:r>
      <w:r w:rsidR="00E67371" w:rsidRPr="00E27EED">
        <w:rPr>
          <w:rStyle w:val="s19"/>
          <w:rFonts w:eastAsiaTheme="minorEastAsia"/>
          <w:color w:val="000000"/>
          <w:sz w:val="24"/>
          <w:szCs w:val="24"/>
          <w:lang w:val="en-US" w:eastAsia="ru-RU"/>
        </w:rPr>
        <w:t xml:space="preserve"> a system of credit limits for </w:t>
      </w:r>
      <w:r>
        <w:rPr>
          <w:rStyle w:val="s19"/>
          <w:rFonts w:eastAsiaTheme="minorEastAsia"/>
          <w:color w:val="000000"/>
          <w:sz w:val="24"/>
          <w:szCs w:val="24"/>
          <w:lang w:val="en-US" w:eastAsia="ru-RU"/>
        </w:rPr>
        <w:t>credit</w:t>
      </w:r>
      <w:r w:rsidR="00E67371" w:rsidRPr="00E27EED">
        <w:rPr>
          <w:rStyle w:val="s19"/>
          <w:rFonts w:eastAsiaTheme="minorEastAsia"/>
          <w:color w:val="000000"/>
          <w:sz w:val="24"/>
          <w:szCs w:val="24"/>
          <w:lang w:val="en-US" w:eastAsia="ru-RU"/>
        </w:rPr>
        <w:t xml:space="preserve"> transactions with the Bank’s </w:t>
      </w:r>
      <w:r w:rsidR="00E27EED">
        <w:rPr>
          <w:rStyle w:val="s19"/>
          <w:rFonts w:eastAsiaTheme="minorEastAsia"/>
          <w:color w:val="000000"/>
          <w:sz w:val="24"/>
          <w:szCs w:val="24"/>
          <w:lang w:val="en-US" w:eastAsia="ru-RU"/>
        </w:rPr>
        <w:t>customer</w:t>
      </w:r>
      <w:r w:rsidR="00E67371" w:rsidRPr="00E27EED">
        <w:rPr>
          <w:rStyle w:val="s19"/>
          <w:rFonts w:eastAsiaTheme="minorEastAsia"/>
          <w:color w:val="000000"/>
          <w:sz w:val="24"/>
          <w:szCs w:val="24"/>
          <w:lang w:val="en-US" w:eastAsia="ru-RU"/>
        </w:rPr>
        <w:t>s, including industry-specific and regional limits, taking into account environmental and social risks;</w:t>
      </w:r>
    </w:p>
    <w:p w:rsidR="00E67371" w:rsidRPr="00E27EED" w:rsidRDefault="006941E6"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P</w:t>
      </w:r>
      <w:r w:rsidR="00E67371" w:rsidRPr="00E27EED">
        <w:rPr>
          <w:rStyle w:val="s19"/>
          <w:rFonts w:eastAsiaTheme="minorEastAsia"/>
          <w:color w:val="000000"/>
          <w:sz w:val="24"/>
          <w:szCs w:val="24"/>
          <w:lang w:val="en-US" w:eastAsia="ru-RU"/>
        </w:rPr>
        <w:t xml:space="preserve">roviding comprehensive customer service, in which credit products are a key element. When the Bank makes credit decisions, one of the criteria for determining a customer’s priority is the use of the Bank’s products and services other than credit products, or the presence of large balances in the customer’s </w:t>
      </w:r>
      <w:r>
        <w:rPr>
          <w:rStyle w:val="s19"/>
          <w:rFonts w:eastAsiaTheme="minorEastAsia"/>
          <w:color w:val="000000"/>
          <w:sz w:val="24"/>
          <w:szCs w:val="24"/>
          <w:lang w:val="en-US" w:eastAsia="ru-RU"/>
        </w:rPr>
        <w:t>current</w:t>
      </w:r>
      <w:r w:rsidR="00E67371" w:rsidRPr="00E27EED">
        <w:rPr>
          <w:rStyle w:val="s19"/>
          <w:rFonts w:eastAsiaTheme="minorEastAsia"/>
          <w:color w:val="000000"/>
          <w:sz w:val="24"/>
          <w:szCs w:val="24"/>
          <w:lang w:val="en-US" w:eastAsia="ru-RU"/>
        </w:rPr>
        <w:t xml:space="preserve"> accounts held with the Bank;</w:t>
      </w:r>
    </w:p>
    <w:p w:rsidR="00E67371" w:rsidRPr="00E27EED"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Conducting a</w:t>
      </w:r>
      <w:r w:rsidR="006941E6">
        <w:rPr>
          <w:rStyle w:val="s19"/>
          <w:rFonts w:eastAsiaTheme="minorEastAsia"/>
          <w:color w:val="000000"/>
          <w:sz w:val="24"/>
          <w:szCs w:val="24"/>
          <w:lang w:val="en-US" w:eastAsia="ru-RU"/>
        </w:rPr>
        <w:t>n</w:t>
      </w:r>
      <w:r w:rsidRPr="00E27EED">
        <w:rPr>
          <w:rStyle w:val="s19"/>
          <w:rFonts w:eastAsiaTheme="minorEastAsia"/>
          <w:color w:val="000000"/>
          <w:sz w:val="24"/>
          <w:szCs w:val="24"/>
          <w:lang w:val="en-US" w:eastAsia="ru-RU"/>
        </w:rPr>
        <w:t xml:space="preserve"> environmental and social risks </w:t>
      </w:r>
      <w:r w:rsidR="006941E6">
        <w:rPr>
          <w:rStyle w:val="s19"/>
          <w:rFonts w:eastAsiaTheme="minorEastAsia"/>
          <w:color w:val="000000"/>
          <w:sz w:val="24"/>
          <w:szCs w:val="24"/>
          <w:lang w:val="en-US" w:eastAsia="ru-RU"/>
        </w:rPr>
        <w:t xml:space="preserve">due diligence </w:t>
      </w:r>
      <w:r w:rsidRPr="00E27EED">
        <w:rPr>
          <w:rStyle w:val="s19"/>
          <w:rFonts w:eastAsiaTheme="minorEastAsia"/>
          <w:color w:val="000000"/>
          <w:sz w:val="24"/>
          <w:szCs w:val="24"/>
          <w:lang w:val="en-US" w:eastAsia="ru-RU"/>
        </w:rPr>
        <w:t>(ESDD) associated with a potential borrower’s activities when financing the upper sub-segment, corporate business, and project finance;</w:t>
      </w:r>
    </w:p>
    <w:p w:rsidR="00E67371" w:rsidRPr="00E27EED"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Ensuring the highest possible profitability of the Bank’s business related to credit-risk-bearing operations in a competitive market environment;</w:t>
      </w:r>
    </w:p>
    <w:p w:rsidR="00E67371" w:rsidRPr="00E27EED"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 xml:space="preserve">Maximizing the satisfaction of </w:t>
      </w:r>
      <w:r w:rsidR="00E27EED">
        <w:rPr>
          <w:rStyle w:val="s19"/>
          <w:rFonts w:eastAsiaTheme="minorEastAsia"/>
          <w:color w:val="000000"/>
          <w:sz w:val="24"/>
          <w:szCs w:val="24"/>
          <w:lang w:val="en-US" w:eastAsia="ru-RU"/>
        </w:rPr>
        <w:t>customer</w:t>
      </w:r>
      <w:r w:rsidRPr="00E27EED">
        <w:rPr>
          <w:rStyle w:val="s19"/>
          <w:rFonts w:eastAsiaTheme="minorEastAsia"/>
          <w:color w:val="000000"/>
          <w:sz w:val="24"/>
          <w:szCs w:val="24"/>
          <w:lang w:val="en-US" w:eastAsia="ru-RU"/>
        </w:rPr>
        <w:t>s’ credit needs while maintaining an acceptable level of credit risk;</w:t>
      </w:r>
    </w:p>
    <w:p w:rsidR="00E67371" w:rsidRPr="00E27EED" w:rsidRDefault="006941E6"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M</w:t>
      </w:r>
      <w:r w:rsidR="00E67371" w:rsidRPr="00E27EED">
        <w:rPr>
          <w:rStyle w:val="s19"/>
          <w:rFonts w:eastAsiaTheme="minorEastAsia"/>
          <w:color w:val="000000"/>
          <w:sz w:val="24"/>
          <w:szCs w:val="24"/>
          <w:lang w:val="en-US" w:eastAsia="ru-RU"/>
        </w:rPr>
        <w:t xml:space="preserve">aintaining consistently high quality of credit services provided to the Bank’s </w:t>
      </w:r>
      <w:r w:rsidR="00E27EED">
        <w:rPr>
          <w:rStyle w:val="s19"/>
          <w:rFonts w:eastAsiaTheme="minorEastAsia"/>
          <w:color w:val="000000"/>
          <w:sz w:val="24"/>
          <w:szCs w:val="24"/>
          <w:lang w:val="en-US" w:eastAsia="ru-RU"/>
        </w:rPr>
        <w:t>customer</w:t>
      </w:r>
      <w:r w:rsidR="00E67371" w:rsidRPr="00E27EED">
        <w:rPr>
          <w:rStyle w:val="s19"/>
          <w:rFonts w:eastAsiaTheme="minorEastAsia"/>
          <w:color w:val="000000"/>
          <w:sz w:val="24"/>
          <w:szCs w:val="24"/>
          <w:lang w:val="en-US" w:eastAsia="ru-RU"/>
        </w:rPr>
        <w:t>s and ensuring the competitiveness of the Bank’s credit products, including their pricing terms;</w:t>
      </w:r>
    </w:p>
    <w:p w:rsidR="00E67371" w:rsidRPr="00E27EED" w:rsidRDefault="006941E6"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E</w:t>
      </w:r>
      <w:r w:rsidR="00E67371" w:rsidRPr="00E27EED">
        <w:rPr>
          <w:rStyle w:val="s19"/>
          <w:rFonts w:eastAsiaTheme="minorEastAsia"/>
          <w:color w:val="000000"/>
          <w:sz w:val="24"/>
          <w:szCs w:val="24"/>
          <w:lang w:val="en-US" w:eastAsia="ru-RU"/>
        </w:rPr>
        <w:t>nsuring the universality of the methodology and the consistency of procedures and regulations within the framework of a product-based approach to borrower analysis;</w:t>
      </w:r>
    </w:p>
    <w:p w:rsidR="00E67371" w:rsidRPr="00E27EED" w:rsidRDefault="006941E6"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E</w:t>
      </w:r>
      <w:r w:rsidR="00E67371" w:rsidRPr="00E27EED">
        <w:rPr>
          <w:rStyle w:val="s19"/>
          <w:rFonts w:eastAsiaTheme="minorEastAsia"/>
          <w:color w:val="000000"/>
          <w:sz w:val="24"/>
          <w:szCs w:val="24"/>
          <w:lang w:val="en-US" w:eastAsia="ru-RU"/>
        </w:rPr>
        <w:t>nsuring a system of measures to combat money laundering and the financing of terrorism in the conduct of credit operations;</w:t>
      </w:r>
    </w:p>
    <w:p w:rsidR="00E67371" w:rsidRPr="00E27EED" w:rsidRDefault="006941E6" w:rsidP="001C68BB">
      <w:pPr>
        <w:numPr>
          <w:ilvl w:val="0"/>
          <w:numId w:val="1"/>
        </w:numPr>
        <w:tabs>
          <w:tab w:val="clear" w:pos="720"/>
        </w:tabs>
        <w:spacing w:after="120" w:line="240" w:lineRule="auto"/>
        <w:ind w:left="709" w:hanging="425"/>
        <w:jc w:val="both"/>
        <w:rPr>
          <w:rStyle w:val="s19"/>
          <w:color w:val="auto"/>
          <w:sz w:val="24"/>
          <w:szCs w:val="24"/>
          <w:lang w:val="en-US"/>
        </w:rPr>
      </w:pPr>
      <w:r>
        <w:rPr>
          <w:rStyle w:val="s19"/>
          <w:rFonts w:eastAsiaTheme="minorEastAsia"/>
          <w:color w:val="000000"/>
          <w:sz w:val="24"/>
          <w:szCs w:val="24"/>
          <w:lang w:val="en-US" w:eastAsia="ru-RU"/>
        </w:rPr>
        <w:t>C</w:t>
      </w:r>
      <w:r w:rsidR="00E67371" w:rsidRPr="00E27EED">
        <w:rPr>
          <w:rStyle w:val="s19"/>
          <w:rFonts w:eastAsiaTheme="minorEastAsia"/>
          <w:color w:val="000000"/>
          <w:sz w:val="24"/>
          <w:szCs w:val="24"/>
          <w:lang w:val="en-US" w:eastAsia="ru-RU"/>
        </w:rPr>
        <w:t>ompliance with information security standards and the organization of operational data processing procedures that help minimize operational risks.</w:t>
      </w:r>
    </w:p>
    <w:p w:rsidR="00E67371" w:rsidRPr="00E27EED" w:rsidRDefault="00E67371" w:rsidP="000B0C64">
      <w:pPr>
        <w:pStyle w:val="pj"/>
        <w:rPr>
          <w:rStyle w:val="s19"/>
          <w:b/>
          <w:color w:val="auto"/>
          <w:lang w:val="en-US"/>
        </w:rPr>
      </w:pPr>
      <w:r w:rsidRPr="00E27EED">
        <w:rPr>
          <w:rStyle w:val="s19"/>
          <w:b/>
          <w:color w:val="auto"/>
          <w:lang w:val="en-US"/>
        </w:rPr>
        <w:t>Limits</w:t>
      </w:r>
    </w:p>
    <w:p w:rsidR="00E67371" w:rsidRPr="00E27EED" w:rsidRDefault="00E67371" w:rsidP="000B0C64">
      <w:pPr>
        <w:widowControl w:val="0"/>
        <w:autoSpaceDE w:val="0"/>
        <w:autoSpaceDN w:val="0"/>
        <w:adjustRightInd w:val="0"/>
        <w:spacing w:after="0" w:line="240" w:lineRule="auto"/>
        <w:ind w:firstLine="709"/>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The Bank’s Limit System.</w:t>
      </w:r>
    </w:p>
    <w:p w:rsidR="00E67371" w:rsidRPr="00E27EED"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The limit system ensures the limitation and control of risks associated with credit operations in order to minimize the Bank’s aggregate losses and diversify risks within the Bank. The system includes the following types of limits:</w:t>
      </w:r>
    </w:p>
    <w:p w:rsidR="00E67371" w:rsidRPr="00E27EED" w:rsidRDefault="006941E6"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R</w:t>
      </w:r>
      <w:r w:rsidR="00E67371" w:rsidRPr="00E27EED">
        <w:rPr>
          <w:rStyle w:val="s19"/>
          <w:rFonts w:eastAsiaTheme="minorEastAsia"/>
          <w:color w:val="000000"/>
          <w:sz w:val="24"/>
          <w:szCs w:val="24"/>
          <w:lang w:val="en-US" w:eastAsia="ru-RU"/>
        </w:rPr>
        <w:t>isk concentration limits based on the amount of credit products provided to a Borrower or a group of related (inter</w:t>
      </w:r>
      <w:r>
        <w:rPr>
          <w:rStyle w:val="s19"/>
          <w:rFonts w:eastAsiaTheme="minorEastAsia"/>
          <w:color w:val="000000"/>
          <w:sz w:val="24"/>
          <w:szCs w:val="24"/>
          <w:lang w:val="en-US" w:eastAsia="ru-RU"/>
        </w:rPr>
        <w:t>connected</w:t>
      </w:r>
      <w:r w:rsidR="00E67371" w:rsidRPr="00E27EED">
        <w:rPr>
          <w:rStyle w:val="s19"/>
          <w:rFonts w:eastAsiaTheme="minorEastAsia"/>
          <w:color w:val="000000"/>
          <w:sz w:val="24"/>
          <w:szCs w:val="24"/>
          <w:lang w:val="en-US" w:eastAsia="ru-RU"/>
        </w:rPr>
        <w:t>) Borrowers;</w:t>
      </w:r>
    </w:p>
    <w:p w:rsidR="00E67371" w:rsidRPr="00E27EED" w:rsidRDefault="006941E6"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S</w:t>
      </w:r>
      <w:r w:rsidR="00E67371" w:rsidRPr="00E27EED">
        <w:rPr>
          <w:rStyle w:val="s19"/>
          <w:rFonts w:eastAsiaTheme="minorEastAsia"/>
          <w:color w:val="000000"/>
          <w:sz w:val="24"/>
          <w:szCs w:val="24"/>
          <w:lang w:val="en-US" w:eastAsia="ru-RU"/>
        </w:rPr>
        <w:t>tructural limits;</w:t>
      </w:r>
    </w:p>
    <w:p w:rsidR="00E67371" w:rsidRPr="00E27EED" w:rsidRDefault="006941E6"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Approval a</w:t>
      </w:r>
      <w:r w:rsidR="00E67371" w:rsidRPr="00E27EED">
        <w:rPr>
          <w:rStyle w:val="s19"/>
          <w:rFonts w:eastAsiaTheme="minorEastAsia"/>
          <w:color w:val="000000"/>
          <w:sz w:val="24"/>
          <w:szCs w:val="24"/>
          <w:lang w:val="en-US" w:eastAsia="ru-RU"/>
        </w:rPr>
        <w:t>uthori</w:t>
      </w:r>
      <w:r>
        <w:rPr>
          <w:rStyle w:val="s19"/>
          <w:rFonts w:eastAsiaTheme="minorEastAsia"/>
          <w:color w:val="000000"/>
          <w:sz w:val="24"/>
          <w:szCs w:val="24"/>
          <w:lang w:val="en-US" w:eastAsia="ru-RU"/>
        </w:rPr>
        <w:t>ty</w:t>
      </w:r>
      <w:r w:rsidR="00E67371" w:rsidRPr="00E27EED">
        <w:rPr>
          <w:rStyle w:val="s19"/>
          <w:rFonts w:eastAsiaTheme="minorEastAsia"/>
          <w:color w:val="000000"/>
          <w:sz w:val="24"/>
          <w:szCs w:val="24"/>
          <w:lang w:val="en-US" w:eastAsia="ru-RU"/>
        </w:rPr>
        <w:t xml:space="preserve"> limits.</w:t>
      </w:r>
    </w:p>
    <w:p w:rsidR="00E67371" w:rsidRPr="00E27EED"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 xml:space="preserve">Risk concentration limit based on the amount of credit products provided to a Borrower or a group of related (interconnected) Borrowers—the maximum risk exposure across all </w:t>
      </w:r>
      <w:r w:rsidRPr="00E27EED">
        <w:rPr>
          <w:rStyle w:val="s19"/>
          <w:rFonts w:eastAsiaTheme="minorEastAsia"/>
          <w:color w:val="000000"/>
          <w:sz w:val="24"/>
          <w:szCs w:val="24"/>
          <w:lang w:val="en-US" w:eastAsia="ru-RU"/>
        </w:rPr>
        <w:lastRenderedPageBreak/>
        <w:t xml:space="preserve">credit products per Borrower, group of related (interconnected) Borrowers, guarantor, or collateral provider. </w:t>
      </w:r>
    </w:p>
    <w:p w:rsidR="00E67371" w:rsidRPr="00E27EED"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Structural limits:</w:t>
      </w:r>
    </w:p>
    <w:p w:rsidR="00E67371" w:rsidRPr="00E27EED" w:rsidRDefault="006941E6"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L</w:t>
      </w:r>
      <w:r w:rsidR="00E67371" w:rsidRPr="00E27EED">
        <w:rPr>
          <w:rStyle w:val="s19"/>
          <w:rFonts w:eastAsiaTheme="minorEastAsia"/>
          <w:color w:val="000000"/>
          <w:sz w:val="24"/>
          <w:szCs w:val="24"/>
          <w:lang w:val="en-US" w:eastAsia="ru-RU"/>
        </w:rPr>
        <w:t>imits by product/group of homogeneous products—the maximum volume of approved, active credit decisions for a product or group of homogeneous products;</w:t>
      </w:r>
    </w:p>
    <w:p w:rsidR="00E67371" w:rsidRPr="00E27EED" w:rsidRDefault="00E67371"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 xml:space="preserve">Counterparty limits—the maximum volume of active credit decisions approved for a product or group of homogeneous products, provided that third-party counterparties (the Bank’s corporate </w:t>
      </w:r>
      <w:r w:rsidR="00E27EED">
        <w:rPr>
          <w:rStyle w:val="s19"/>
          <w:rFonts w:eastAsiaTheme="minorEastAsia"/>
          <w:color w:val="000000"/>
          <w:sz w:val="24"/>
          <w:szCs w:val="24"/>
          <w:lang w:val="en-US" w:eastAsia="ru-RU"/>
        </w:rPr>
        <w:t>customer</w:t>
      </w:r>
      <w:r w:rsidRPr="00E27EED">
        <w:rPr>
          <w:rStyle w:val="s19"/>
          <w:rFonts w:eastAsiaTheme="minorEastAsia"/>
          <w:color w:val="000000"/>
          <w:sz w:val="24"/>
          <w:szCs w:val="24"/>
          <w:lang w:val="en-US" w:eastAsia="ru-RU"/>
        </w:rPr>
        <w:t>s, construction companies, car dealerships, etc.) are involved in the transaction;</w:t>
      </w:r>
    </w:p>
    <w:p w:rsidR="00E67371" w:rsidRPr="00E27EED" w:rsidRDefault="00E67371"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 xml:space="preserve">Industry and country limits—these limits are established and monitored in accordance with the internal document “Policy on the Management of Country and Industry Risks at </w:t>
      </w:r>
      <w:r w:rsidR="00467B31" w:rsidRPr="00467B31">
        <w:rPr>
          <w:rFonts w:ascii="Times New Roman" w:eastAsiaTheme="minorEastAsia" w:hAnsi="Times New Roman" w:cs="Times New Roman"/>
          <w:color w:val="000000"/>
          <w:sz w:val="24"/>
          <w:szCs w:val="24"/>
          <w:lang w:val="en-US" w:eastAsia="ru-RU"/>
        </w:rPr>
        <w:t>Subsidiary JSC VTB Bank (Kazakhstan)</w:t>
      </w:r>
      <w:r w:rsidRPr="00E27EED">
        <w:rPr>
          <w:rStyle w:val="s19"/>
          <w:rFonts w:eastAsiaTheme="minorEastAsia"/>
          <w:color w:val="000000"/>
          <w:sz w:val="24"/>
          <w:szCs w:val="24"/>
          <w:lang w:val="en-US" w:eastAsia="ru-RU"/>
        </w:rPr>
        <w:t>.”</w:t>
      </w:r>
    </w:p>
    <w:p w:rsidR="00E67371" w:rsidRPr="00E27EED"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en-US" w:eastAsia="ru-RU"/>
        </w:rPr>
      </w:pPr>
      <w:r w:rsidRPr="00E27EED">
        <w:rPr>
          <w:rStyle w:val="s19"/>
          <w:rFonts w:eastAsiaTheme="minorEastAsia"/>
          <w:color w:val="000000"/>
          <w:sz w:val="24"/>
          <w:szCs w:val="24"/>
          <w:lang w:val="en-US" w:eastAsia="ru-RU"/>
        </w:rPr>
        <w:t>A</w:t>
      </w:r>
      <w:r w:rsidR="006941E6">
        <w:rPr>
          <w:rStyle w:val="s19"/>
          <w:rFonts w:eastAsiaTheme="minorEastAsia"/>
          <w:color w:val="000000"/>
          <w:sz w:val="24"/>
          <w:szCs w:val="24"/>
          <w:lang w:val="en-US" w:eastAsia="ru-RU"/>
        </w:rPr>
        <w:t>pproval a</w:t>
      </w:r>
      <w:r w:rsidRPr="00E27EED">
        <w:rPr>
          <w:rStyle w:val="s19"/>
          <w:rFonts w:eastAsiaTheme="minorEastAsia"/>
          <w:color w:val="000000"/>
          <w:sz w:val="24"/>
          <w:szCs w:val="24"/>
          <w:lang w:val="en-US" w:eastAsia="ru-RU"/>
        </w:rPr>
        <w:t xml:space="preserve">uthority </w:t>
      </w:r>
      <w:r w:rsidR="006941E6">
        <w:rPr>
          <w:rStyle w:val="s19"/>
          <w:rFonts w:eastAsiaTheme="minorEastAsia"/>
          <w:color w:val="000000"/>
          <w:sz w:val="24"/>
          <w:szCs w:val="24"/>
          <w:lang w:val="en-US" w:eastAsia="ru-RU"/>
        </w:rPr>
        <w:t>l</w:t>
      </w:r>
      <w:r w:rsidRPr="00E27EED">
        <w:rPr>
          <w:rStyle w:val="s19"/>
          <w:rFonts w:eastAsiaTheme="minorEastAsia"/>
          <w:color w:val="000000"/>
          <w:sz w:val="24"/>
          <w:szCs w:val="24"/>
          <w:lang w:val="en-US" w:eastAsia="ru-RU"/>
        </w:rPr>
        <w:t>imits:</w:t>
      </w:r>
    </w:p>
    <w:p w:rsidR="00E67371" w:rsidRPr="00E27EED" w:rsidRDefault="00B62C1B" w:rsidP="001C68BB">
      <w:pPr>
        <w:numPr>
          <w:ilvl w:val="0"/>
          <w:numId w:val="5"/>
        </w:numPr>
        <w:tabs>
          <w:tab w:val="clear" w:pos="1800"/>
        </w:tabs>
        <w:spacing w:after="0" w:line="240" w:lineRule="auto"/>
        <w:ind w:left="993" w:hanging="284"/>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Individual a</w:t>
      </w:r>
      <w:r w:rsidR="006941E6">
        <w:rPr>
          <w:rStyle w:val="s19"/>
          <w:rFonts w:eastAsiaTheme="minorEastAsia"/>
          <w:color w:val="000000"/>
          <w:sz w:val="24"/>
          <w:szCs w:val="24"/>
          <w:lang w:val="en-US" w:eastAsia="ru-RU"/>
        </w:rPr>
        <w:t>pproval a</w:t>
      </w:r>
      <w:r w:rsidR="006941E6" w:rsidRPr="00E27EED">
        <w:rPr>
          <w:rStyle w:val="s19"/>
          <w:rFonts w:eastAsiaTheme="minorEastAsia"/>
          <w:color w:val="000000"/>
          <w:sz w:val="24"/>
          <w:szCs w:val="24"/>
          <w:lang w:val="en-US" w:eastAsia="ru-RU"/>
        </w:rPr>
        <w:t xml:space="preserve">uthority </w:t>
      </w:r>
      <w:r w:rsidR="00E67371" w:rsidRPr="00E27EED">
        <w:rPr>
          <w:rStyle w:val="s19"/>
          <w:rFonts w:eastAsiaTheme="minorEastAsia"/>
          <w:color w:val="000000"/>
          <w:sz w:val="24"/>
          <w:szCs w:val="24"/>
          <w:lang w:val="en-US" w:eastAsia="ru-RU"/>
        </w:rPr>
        <w:t>limit;</w:t>
      </w:r>
    </w:p>
    <w:p w:rsidR="00E67371" w:rsidRPr="00E27EED" w:rsidRDefault="006941E6" w:rsidP="001C68BB">
      <w:pPr>
        <w:numPr>
          <w:ilvl w:val="0"/>
          <w:numId w:val="5"/>
        </w:numPr>
        <w:tabs>
          <w:tab w:val="clear" w:pos="1800"/>
        </w:tabs>
        <w:spacing w:after="0" w:line="240" w:lineRule="auto"/>
        <w:ind w:left="993" w:hanging="284"/>
        <w:jc w:val="both"/>
        <w:rPr>
          <w:rStyle w:val="s19"/>
          <w:rFonts w:eastAsiaTheme="minorEastAsia"/>
          <w:color w:val="000000"/>
          <w:sz w:val="24"/>
          <w:szCs w:val="24"/>
          <w:lang w:val="en-US" w:eastAsia="ru-RU"/>
        </w:rPr>
      </w:pPr>
      <w:r>
        <w:rPr>
          <w:rStyle w:val="s19"/>
          <w:rFonts w:eastAsiaTheme="minorEastAsia"/>
          <w:color w:val="000000"/>
          <w:sz w:val="24"/>
          <w:szCs w:val="24"/>
          <w:lang w:val="en-US" w:eastAsia="ru-RU"/>
        </w:rPr>
        <w:t>A</w:t>
      </w:r>
      <w:r w:rsidR="00E67371" w:rsidRPr="00E27EED">
        <w:rPr>
          <w:rStyle w:val="s19"/>
          <w:rFonts w:eastAsiaTheme="minorEastAsia"/>
          <w:color w:val="000000"/>
          <w:sz w:val="24"/>
          <w:szCs w:val="24"/>
          <w:lang w:val="en-US" w:eastAsia="ru-RU"/>
        </w:rPr>
        <w:t xml:space="preserve">ggregate </w:t>
      </w:r>
      <w:r>
        <w:rPr>
          <w:rStyle w:val="s19"/>
          <w:rFonts w:eastAsiaTheme="minorEastAsia"/>
          <w:color w:val="000000"/>
          <w:sz w:val="24"/>
          <w:szCs w:val="24"/>
          <w:lang w:val="en-US" w:eastAsia="ru-RU"/>
        </w:rPr>
        <w:t>approval a</w:t>
      </w:r>
      <w:r w:rsidRPr="00E27EED">
        <w:rPr>
          <w:rStyle w:val="s19"/>
          <w:rFonts w:eastAsiaTheme="minorEastAsia"/>
          <w:color w:val="000000"/>
          <w:sz w:val="24"/>
          <w:szCs w:val="24"/>
          <w:lang w:val="en-US" w:eastAsia="ru-RU"/>
        </w:rPr>
        <w:t xml:space="preserve">uthority </w:t>
      </w:r>
      <w:r w:rsidR="00E67371" w:rsidRPr="00E27EED">
        <w:rPr>
          <w:rStyle w:val="s19"/>
          <w:rFonts w:eastAsiaTheme="minorEastAsia"/>
          <w:color w:val="000000"/>
          <w:sz w:val="24"/>
          <w:szCs w:val="24"/>
          <w:lang w:val="en-US" w:eastAsia="ru-RU"/>
        </w:rPr>
        <w:t>limit.</w:t>
      </w:r>
    </w:p>
    <w:p w:rsidR="00E67371" w:rsidRPr="00E27EED" w:rsidRDefault="00E67371" w:rsidP="000B0C64">
      <w:pPr>
        <w:pStyle w:val="pj"/>
        <w:ind w:left="760" w:firstLine="0"/>
        <w:rPr>
          <w:rStyle w:val="s19"/>
          <w:color w:val="auto"/>
          <w:lang w:val="en-US"/>
        </w:rPr>
      </w:pPr>
    </w:p>
    <w:p w:rsidR="00E67371" w:rsidRPr="00E27EED" w:rsidRDefault="00E67371" w:rsidP="000B0C64">
      <w:pPr>
        <w:pStyle w:val="pj"/>
        <w:ind w:firstLine="0"/>
        <w:rPr>
          <w:rStyle w:val="s19"/>
          <w:b/>
          <w:color w:val="auto"/>
          <w:lang w:val="en-US"/>
        </w:rPr>
      </w:pPr>
      <w:r w:rsidRPr="00E27EED">
        <w:rPr>
          <w:rStyle w:val="s19"/>
          <w:b/>
          <w:color w:val="auto"/>
          <w:lang w:val="en-US"/>
        </w:rPr>
        <w:t xml:space="preserve">The Impact of the Bank’s Business Model on the Level of Credit Risk and Methods for Mitigating It </w:t>
      </w:r>
    </w:p>
    <w:p w:rsidR="00E67371" w:rsidRPr="00E27EED" w:rsidRDefault="00E67371" w:rsidP="000B0C64">
      <w:pPr>
        <w:pStyle w:val="pj"/>
        <w:rPr>
          <w:rStyle w:val="s19"/>
          <w:color w:val="auto"/>
          <w:lang w:val="en-US"/>
        </w:rPr>
      </w:pPr>
      <w:r w:rsidRPr="00E27EED">
        <w:rPr>
          <w:rStyle w:val="s19"/>
          <w:color w:val="auto"/>
          <w:lang w:val="en-US"/>
        </w:rPr>
        <w:t xml:space="preserve">The Bank’s </w:t>
      </w:r>
      <w:r w:rsidR="00B62C1B">
        <w:rPr>
          <w:rStyle w:val="s19"/>
          <w:color w:val="auto"/>
          <w:lang w:val="en-US"/>
        </w:rPr>
        <w:t>credit</w:t>
      </w:r>
      <w:r w:rsidRPr="00E27EED">
        <w:rPr>
          <w:rStyle w:val="s19"/>
          <w:color w:val="auto"/>
          <w:lang w:val="en-US"/>
        </w:rPr>
        <w:t xml:space="preserve"> risk profile is consistent with its chosen strategy</w:t>
      </w:r>
      <w:r w:rsidR="00B62C1B">
        <w:rPr>
          <w:rStyle w:val="s19"/>
          <w:color w:val="auto"/>
          <w:lang w:val="en-US"/>
        </w:rPr>
        <w:t xml:space="preserve"> </w:t>
      </w:r>
      <w:r w:rsidR="00B62C1B" w:rsidRPr="00B62C1B">
        <w:rPr>
          <w:lang w:val="en-US"/>
        </w:rPr>
        <w:t>and is characterized by a prudent and conservative approach, taking into account all relevant risks and supported by a thorough credit assessment process</w:t>
      </w:r>
      <w:r w:rsidRPr="00E27EED">
        <w:rPr>
          <w:rStyle w:val="s19"/>
          <w:color w:val="auto"/>
          <w:lang w:val="en-US"/>
        </w:rPr>
        <w:t xml:space="preserve">. In line with its strategy, the Bank’s business model is primarily focused on leveraging the Bank’s competitive advantages in facilitating payments between the Republic of Kazakhstan and the Russian Federation. Consequently, lending ranks second in importance among the Bank’s business lines. </w:t>
      </w:r>
    </w:p>
    <w:p w:rsidR="00E67371" w:rsidRPr="00E27EED" w:rsidRDefault="00E67371" w:rsidP="000B0C64">
      <w:pPr>
        <w:pStyle w:val="pj"/>
        <w:ind w:firstLine="0"/>
        <w:rPr>
          <w:rStyle w:val="s19"/>
          <w:b/>
          <w:color w:val="auto"/>
          <w:lang w:val="en-US"/>
        </w:rPr>
      </w:pPr>
    </w:p>
    <w:p w:rsidR="00E67371" w:rsidRPr="00E27EED" w:rsidRDefault="00E67371" w:rsidP="000B0C64">
      <w:pPr>
        <w:pStyle w:val="pj"/>
        <w:ind w:firstLine="0"/>
        <w:rPr>
          <w:rStyle w:val="s19"/>
          <w:color w:val="auto"/>
          <w:lang w:val="en-US"/>
        </w:rPr>
      </w:pPr>
      <w:r w:rsidRPr="00E27EED">
        <w:rPr>
          <w:rStyle w:val="s19"/>
          <w:b/>
          <w:color w:val="auto"/>
          <w:lang w:val="en-US"/>
        </w:rPr>
        <w:t xml:space="preserve">Organizational Structure of the Bank’s </w:t>
      </w:r>
      <w:r w:rsidR="00B62C1B">
        <w:rPr>
          <w:rStyle w:val="s19"/>
          <w:b/>
          <w:color w:val="auto"/>
          <w:lang w:val="en-US"/>
        </w:rPr>
        <w:t>Subd</w:t>
      </w:r>
      <w:r w:rsidRPr="00E27EED">
        <w:rPr>
          <w:rStyle w:val="s19"/>
          <w:b/>
          <w:color w:val="auto"/>
          <w:lang w:val="en-US"/>
        </w:rPr>
        <w:t>ivisions</w:t>
      </w:r>
    </w:p>
    <w:p w:rsidR="00E67371" w:rsidRPr="00E27EED" w:rsidRDefault="00E67371" w:rsidP="000B0C64">
      <w:pPr>
        <w:pStyle w:val="a9"/>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The following </w:t>
      </w:r>
      <w:r w:rsidR="00B62C1B">
        <w:rPr>
          <w:rStyle w:val="s19"/>
          <w:rFonts w:eastAsiaTheme="minorEastAsia"/>
          <w:color w:val="auto"/>
          <w:sz w:val="24"/>
          <w:szCs w:val="24"/>
          <w:lang w:val="en-US" w:eastAsia="ru-RU"/>
        </w:rPr>
        <w:t>subdivisions</w:t>
      </w:r>
      <w:r w:rsidRPr="00E27EED">
        <w:rPr>
          <w:rStyle w:val="s19"/>
          <w:rFonts w:eastAsiaTheme="minorEastAsia"/>
          <w:color w:val="auto"/>
          <w:sz w:val="24"/>
          <w:szCs w:val="24"/>
          <w:lang w:val="en-US" w:eastAsia="ru-RU"/>
        </w:rPr>
        <w:t xml:space="preserve"> are participants in the Bank’s credit risk management system:</w:t>
      </w:r>
    </w:p>
    <w:p w:rsidR="00E67371" w:rsidRPr="00E27EED" w:rsidRDefault="00E67371" w:rsidP="000B0C64">
      <w:pPr>
        <w:pStyle w:val="a9"/>
        <w:spacing w:line="240" w:lineRule="auto"/>
        <w:rPr>
          <w:rStyle w:val="s19"/>
          <w:color w:val="auto"/>
          <w:sz w:val="24"/>
          <w:szCs w:val="24"/>
          <w:lang w:val="en-US"/>
        </w:rPr>
      </w:pPr>
    </w:p>
    <w:p w:rsidR="00E67371" w:rsidRPr="00E27EED" w:rsidRDefault="00B62C1B" w:rsidP="000B0C64">
      <w:pPr>
        <w:pStyle w:val="a9"/>
        <w:spacing w:line="240" w:lineRule="auto"/>
        <w:rPr>
          <w:rStyle w:val="s19"/>
          <w:rFonts w:eastAsiaTheme="minorEastAsia"/>
          <w:color w:val="auto"/>
          <w:sz w:val="24"/>
          <w:szCs w:val="24"/>
          <w:lang w:val="en-US" w:eastAsia="ru-RU"/>
        </w:rPr>
      </w:pPr>
      <w:r>
        <w:rPr>
          <w:rStyle w:val="s19"/>
          <w:rFonts w:eastAsiaTheme="minorEastAsia"/>
          <w:color w:val="auto"/>
          <w:sz w:val="24"/>
          <w:szCs w:val="24"/>
          <w:lang w:val="en-US" w:eastAsia="ru-RU"/>
        </w:rPr>
        <w:t>The f</w:t>
      </w:r>
      <w:r w:rsidR="00E67371" w:rsidRPr="00E27EED">
        <w:rPr>
          <w:rStyle w:val="s19"/>
          <w:rFonts w:eastAsiaTheme="minorEastAsia"/>
          <w:color w:val="auto"/>
          <w:sz w:val="24"/>
          <w:szCs w:val="24"/>
          <w:lang w:val="en-US" w:eastAsia="ru-RU"/>
        </w:rPr>
        <w:t>irst line of defense:</w:t>
      </w:r>
    </w:p>
    <w:p w:rsidR="00E67371" w:rsidRPr="00E27EED" w:rsidRDefault="00E67371" w:rsidP="001C68BB">
      <w:pPr>
        <w:pStyle w:val="a9"/>
        <w:numPr>
          <w:ilvl w:val="0"/>
          <w:numId w:val="6"/>
        </w:numPr>
        <w:spacing w:line="240" w:lineRule="auto"/>
        <w:ind w:left="709" w:hanging="567"/>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Corporate and Investment Business Department:</w:t>
      </w:r>
    </w:p>
    <w:p w:rsidR="00E67371" w:rsidRPr="00E27EED" w:rsidRDefault="00E67371" w:rsidP="001C68BB">
      <w:pPr>
        <w:pStyle w:val="a9"/>
        <w:numPr>
          <w:ilvl w:val="0"/>
          <w:numId w:val="7"/>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Credit </w:t>
      </w:r>
      <w:r w:rsidR="00B62C1B">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w:t>
      </w:r>
    </w:p>
    <w:p w:rsidR="00E67371" w:rsidRPr="00E27EED" w:rsidRDefault="00E67371" w:rsidP="001C68BB">
      <w:pPr>
        <w:pStyle w:val="a9"/>
        <w:numPr>
          <w:ilvl w:val="0"/>
          <w:numId w:val="7"/>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Large Corporate </w:t>
      </w:r>
      <w:r w:rsidR="00E27EED">
        <w:rPr>
          <w:rStyle w:val="s19"/>
          <w:rFonts w:eastAsiaTheme="minorEastAsia"/>
          <w:color w:val="auto"/>
          <w:sz w:val="24"/>
          <w:szCs w:val="24"/>
          <w:lang w:val="en-US" w:eastAsia="ru-RU"/>
        </w:rPr>
        <w:t>Customer</w:t>
      </w:r>
      <w:r w:rsidRPr="00E27EED">
        <w:rPr>
          <w:rStyle w:val="s19"/>
          <w:rFonts w:eastAsiaTheme="minorEastAsia"/>
          <w:color w:val="auto"/>
          <w:sz w:val="24"/>
          <w:szCs w:val="24"/>
          <w:lang w:val="en-US" w:eastAsia="ru-RU"/>
        </w:rPr>
        <w:t xml:space="preserve"> Relations </w:t>
      </w:r>
      <w:r w:rsidR="00B62C1B">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w:t>
      </w:r>
    </w:p>
    <w:p w:rsidR="00E67371" w:rsidRPr="00E27EED" w:rsidRDefault="00E67371" w:rsidP="001C68BB">
      <w:pPr>
        <w:pStyle w:val="a9"/>
        <w:numPr>
          <w:ilvl w:val="0"/>
          <w:numId w:val="7"/>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 Trad</w:t>
      </w:r>
      <w:r w:rsidR="00B62C1B">
        <w:rPr>
          <w:rStyle w:val="s19"/>
          <w:rFonts w:eastAsiaTheme="minorEastAsia"/>
          <w:color w:val="auto"/>
          <w:sz w:val="24"/>
          <w:szCs w:val="24"/>
          <w:lang w:val="en-US" w:eastAsia="ru-RU"/>
        </w:rPr>
        <w:t>e</w:t>
      </w:r>
      <w:r w:rsidRPr="00E27EED">
        <w:rPr>
          <w:rStyle w:val="s19"/>
          <w:rFonts w:eastAsiaTheme="minorEastAsia"/>
          <w:color w:val="auto"/>
          <w:sz w:val="24"/>
          <w:szCs w:val="24"/>
          <w:lang w:val="en-US" w:eastAsia="ru-RU"/>
        </w:rPr>
        <w:t xml:space="preserve"> Operations </w:t>
      </w:r>
      <w:r w:rsidR="00B62C1B">
        <w:rPr>
          <w:rStyle w:val="s19"/>
          <w:rFonts w:eastAsiaTheme="minorEastAsia"/>
          <w:color w:val="auto"/>
          <w:sz w:val="24"/>
          <w:szCs w:val="24"/>
          <w:lang w:val="en-US" w:eastAsia="ru-RU"/>
        </w:rPr>
        <w:t>Division</w:t>
      </w:r>
    </w:p>
    <w:p w:rsidR="00E67371" w:rsidRPr="00E27EED" w:rsidRDefault="00E67371" w:rsidP="001C68BB">
      <w:pPr>
        <w:pStyle w:val="a9"/>
        <w:numPr>
          <w:ilvl w:val="0"/>
          <w:numId w:val="7"/>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Transactional Business </w:t>
      </w:r>
      <w:r w:rsidR="00B62C1B">
        <w:rPr>
          <w:rStyle w:val="s19"/>
          <w:rFonts w:eastAsiaTheme="minorEastAsia"/>
          <w:color w:val="auto"/>
          <w:sz w:val="24"/>
          <w:szCs w:val="24"/>
          <w:lang w:val="en-US" w:eastAsia="ru-RU"/>
        </w:rPr>
        <w:t>Division</w:t>
      </w:r>
    </w:p>
    <w:p w:rsidR="00E67371" w:rsidRPr="00E27EED" w:rsidRDefault="00E67371" w:rsidP="001C68BB">
      <w:pPr>
        <w:pStyle w:val="a9"/>
        <w:numPr>
          <w:ilvl w:val="0"/>
          <w:numId w:val="7"/>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 Business Support, Methodology, Planning, and Reporting </w:t>
      </w:r>
      <w:r w:rsidR="00B62C1B">
        <w:rPr>
          <w:rStyle w:val="s19"/>
          <w:rFonts w:eastAsiaTheme="minorEastAsia"/>
          <w:color w:val="auto"/>
          <w:sz w:val="24"/>
          <w:szCs w:val="24"/>
          <w:lang w:val="en-US" w:eastAsia="ru-RU"/>
        </w:rPr>
        <w:t>Unit</w:t>
      </w:r>
    </w:p>
    <w:p w:rsidR="00E67371" w:rsidRPr="00E27EED" w:rsidRDefault="00E67371" w:rsidP="000B0C64">
      <w:pPr>
        <w:pStyle w:val="a9"/>
        <w:spacing w:line="240" w:lineRule="auto"/>
        <w:rPr>
          <w:rStyle w:val="s19"/>
          <w:color w:val="auto"/>
          <w:sz w:val="24"/>
          <w:szCs w:val="24"/>
          <w:lang w:val="en-US"/>
        </w:rPr>
      </w:pPr>
    </w:p>
    <w:p w:rsidR="00E67371" w:rsidRPr="00E27EED" w:rsidRDefault="00E67371" w:rsidP="001C68BB">
      <w:pPr>
        <w:pStyle w:val="a9"/>
        <w:numPr>
          <w:ilvl w:val="0"/>
          <w:numId w:val="6"/>
        </w:numPr>
        <w:spacing w:line="240" w:lineRule="auto"/>
        <w:ind w:left="993"/>
        <w:rPr>
          <w:rStyle w:val="s19"/>
          <w:color w:val="auto"/>
          <w:sz w:val="24"/>
          <w:szCs w:val="24"/>
          <w:lang w:val="en-US"/>
        </w:rPr>
      </w:pPr>
      <w:r w:rsidRPr="00E27EED">
        <w:rPr>
          <w:rStyle w:val="s19"/>
          <w:color w:val="auto"/>
          <w:sz w:val="24"/>
          <w:szCs w:val="24"/>
          <w:lang w:val="en-US"/>
        </w:rPr>
        <w:t xml:space="preserve">Corporate </w:t>
      </w:r>
      <w:r w:rsidR="00E27EED">
        <w:rPr>
          <w:rStyle w:val="s19"/>
          <w:color w:val="auto"/>
          <w:sz w:val="24"/>
          <w:szCs w:val="24"/>
          <w:lang w:val="en-US"/>
        </w:rPr>
        <w:t>Customer</w:t>
      </w:r>
      <w:r w:rsidRPr="00E27EED">
        <w:rPr>
          <w:rStyle w:val="s19"/>
          <w:color w:val="auto"/>
          <w:sz w:val="24"/>
          <w:szCs w:val="24"/>
          <w:lang w:val="en-US"/>
        </w:rPr>
        <w:t xml:space="preserve"> Services Department:</w:t>
      </w:r>
    </w:p>
    <w:p w:rsidR="00E67371" w:rsidRPr="00E27EED" w:rsidRDefault="00E67371" w:rsidP="001C68BB">
      <w:pPr>
        <w:pStyle w:val="a9"/>
        <w:numPr>
          <w:ilvl w:val="0"/>
          <w:numId w:val="8"/>
        </w:numPr>
        <w:spacing w:line="240" w:lineRule="auto"/>
        <w:rPr>
          <w:rStyle w:val="s19"/>
          <w:rFonts w:eastAsiaTheme="minorEastAsia"/>
          <w:color w:val="auto"/>
          <w:sz w:val="24"/>
          <w:szCs w:val="24"/>
          <w:lang w:val="en-US" w:eastAsia="ru-RU"/>
        </w:rPr>
      </w:pPr>
      <w:r w:rsidRPr="00E27EED">
        <w:rPr>
          <w:rStyle w:val="s19"/>
          <w:color w:val="auto"/>
          <w:sz w:val="24"/>
          <w:szCs w:val="24"/>
          <w:lang w:val="en-US"/>
        </w:rPr>
        <w:t xml:space="preserve">Credit </w:t>
      </w:r>
      <w:r w:rsidR="00B62C1B">
        <w:rPr>
          <w:rStyle w:val="s19"/>
          <w:rFonts w:eastAsiaTheme="minorEastAsia"/>
          <w:color w:val="auto"/>
          <w:sz w:val="24"/>
          <w:szCs w:val="24"/>
          <w:lang w:val="en-US" w:eastAsia="ru-RU"/>
        </w:rPr>
        <w:t>Division</w:t>
      </w:r>
    </w:p>
    <w:p w:rsidR="00E67371" w:rsidRPr="00E27EED" w:rsidRDefault="00E67371" w:rsidP="001C68BB">
      <w:pPr>
        <w:pStyle w:val="a9"/>
        <w:numPr>
          <w:ilvl w:val="0"/>
          <w:numId w:val="8"/>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Corporate </w:t>
      </w:r>
      <w:r w:rsidR="00E27EED">
        <w:rPr>
          <w:rStyle w:val="s19"/>
          <w:rFonts w:eastAsiaTheme="minorEastAsia"/>
          <w:color w:val="auto"/>
          <w:sz w:val="24"/>
          <w:szCs w:val="24"/>
          <w:lang w:val="en-US" w:eastAsia="ru-RU"/>
        </w:rPr>
        <w:t>Customer</w:t>
      </w:r>
      <w:r w:rsidRPr="00E27EED">
        <w:rPr>
          <w:rStyle w:val="s19"/>
          <w:rFonts w:eastAsiaTheme="minorEastAsia"/>
          <w:color w:val="auto"/>
          <w:sz w:val="24"/>
          <w:szCs w:val="24"/>
          <w:lang w:val="en-US" w:eastAsia="ru-RU"/>
        </w:rPr>
        <w:t xml:space="preserve"> </w:t>
      </w:r>
      <w:r w:rsidR="00B62C1B" w:rsidRPr="00E27EED">
        <w:rPr>
          <w:rStyle w:val="s19"/>
          <w:rFonts w:eastAsiaTheme="minorEastAsia"/>
          <w:color w:val="auto"/>
          <w:sz w:val="24"/>
          <w:szCs w:val="24"/>
          <w:lang w:val="en-US" w:eastAsia="ru-RU"/>
        </w:rPr>
        <w:t xml:space="preserve">Relations </w:t>
      </w:r>
      <w:r w:rsidR="00B62C1B">
        <w:rPr>
          <w:rStyle w:val="s19"/>
          <w:rFonts w:eastAsiaTheme="minorEastAsia"/>
          <w:color w:val="auto"/>
          <w:sz w:val="24"/>
          <w:szCs w:val="24"/>
          <w:lang w:val="en-US" w:eastAsia="ru-RU"/>
        </w:rPr>
        <w:t>Division</w:t>
      </w:r>
    </w:p>
    <w:p w:rsidR="00E67371" w:rsidRPr="00E27EED" w:rsidRDefault="00E67371" w:rsidP="001C68BB">
      <w:pPr>
        <w:pStyle w:val="a9"/>
        <w:numPr>
          <w:ilvl w:val="0"/>
          <w:numId w:val="8"/>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 Business Support </w:t>
      </w:r>
      <w:r w:rsidR="00B62C1B">
        <w:rPr>
          <w:rStyle w:val="s19"/>
          <w:rFonts w:eastAsiaTheme="minorEastAsia"/>
          <w:color w:val="auto"/>
          <w:sz w:val="24"/>
          <w:szCs w:val="24"/>
          <w:lang w:val="en-US" w:eastAsia="ru-RU"/>
        </w:rPr>
        <w:t>Division</w:t>
      </w:r>
    </w:p>
    <w:p w:rsidR="00C125B4" w:rsidRPr="00E27EED" w:rsidRDefault="00C125B4" w:rsidP="000B0C64">
      <w:pPr>
        <w:pStyle w:val="a9"/>
        <w:spacing w:line="240" w:lineRule="auto"/>
        <w:ind w:left="1440"/>
        <w:rPr>
          <w:rStyle w:val="s19"/>
          <w:rFonts w:eastAsiaTheme="minorEastAsia"/>
          <w:color w:val="auto"/>
          <w:sz w:val="24"/>
          <w:szCs w:val="24"/>
          <w:lang w:val="en-US" w:eastAsia="ru-RU"/>
        </w:rPr>
      </w:pPr>
    </w:p>
    <w:p w:rsidR="00C125B4" w:rsidRPr="00E27EED" w:rsidRDefault="00C125B4" w:rsidP="001C68BB">
      <w:pPr>
        <w:pStyle w:val="a9"/>
        <w:numPr>
          <w:ilvl w:val="0"/>
          <w:numId w:val="6"/>
        </w:numPr>
        <w:spacing w:line="240" w:lineRule="auto"/>
        <w:ind w:left="993"/>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Retail Business Department:</w:t>
      </w:r>
    </w:p>
    <w:p w:rsidR="00C125B4" w:rsidRPr="00E27EED" w:rsidRDefault="00C125B4" w:rsidP="001C68BB">
      <w:pPr>
        <w:pStyle w:val="a9"/>
        <w:numPr>
          <w:ilvl w:val="0"/>
          <w:numId w:val="33"/>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Customer Service </w:t>
      </w:r>
      <w:r w:rsidR="00B62C1B">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w:t>
      </w:r>
    </w:p>
    <w:p w:rsidR="00C125B4" w:rsidRPr="00E27EED" w:rsidRDefault="00C125B4" w:rsidP="001C68BB">
      <w:pPr>
        <w:pStyle w:val="a9"/>
        <w:numPr>
          <w:ilvl w:val="0"/>
          <w:numId w:val="33"/>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Regional Network </w:t>
      </w:r>
      <w:r w:rsidR="00B62C1B">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w:t>
      </w:r>
    </w:p>
    <w:p w:rsidR="00C125B4" w:rsidRPr="00E27EED" w:rsidRDefault="00C125B4" w:rsidP="001C68BB">
      <w:pPr>
        <w:pStyle w:val="a9"/>
        <w:numPr>
          <w:ilvl w:val="0"/>
          <w:numId w:val="33"/>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Retail Lending Development </w:t>
      </w:r>
      <w:r w:rsidR="00B62C1B">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w:t>
      </w:r>
    </w:p>
    <w:p w:rsidR="00C125B4" w:rsidRPr="00E27EED" w:rsidRDefault="00C125B4" w:rsidP="000B0C64">
      <w:pPr>
        <w:pStyle w:val="a9"/>
        <w:spacing w:line="240" w:lineRule="auto"/>
        <w:ind w:left="1440"/>
        <w:rPr>
          <w:rStyle w:val="s19"/>
          <w:rFonts w:eastAsiaTheme="minorEastAsia"/>
          <w:color w:val="auto"/>
          <w:sz w:val="24"/>
          <w:szCs w:val="24"/>
          <w:lang w:val="en-US" w:eastAsia="ru-RU"/>
        </w:rPr>
      </w:pPr>
    </w:p>
    <w:p w:rsidR="00E67371" w:rsidRPr="00E27EED" w:rsidRDefault="00E67371" w:rsidP="000B0C64">
      <w:p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The </w:t>
      </w:r>
      <w:r w:rsidR="00B62C1B">
        <w:rPr>
          <w:rStyle w:val="s19"/>
          <w:rFonts w:eastAsiaTheme="minorEastAsia"/>
          <w:color w:val="auto"/>
          <w:sz w:val="24"/>
          <w:szCs w:val="24"/>
          <w:lang w:val="en-US" w:eastAsia="ru-RU"/>
        </w:rPr>
        <w:t>sub</w:t>
      </w:r>
      <w:r w:rsidRPr="00E27EED">
        <w:rPr>
          <w:rStyle w:val="s19"/>
          <w:rFonts w:eastAsiaTheme="minorEastAsia"/>
          <w:color w:val="auto"/>
          <w:sz w:val="24"/>
          <w:szCs w:val="24"/>
          <w:lang w:val="en-US" w:eastAsia="ru-RU"/>
        </w:rPr>
        <w:t xml:space="preserve">divisions responsible for managing non-performing loans operate as a separate </w:t>
      </w:r>
      <w:r w:rsidR="00B62C1B">
        <w:rPr>
          <w:rStyle w:val="s19"/>
          <w:rFonts w:eastAsiaTheme="minorEastAsia"/>
          <w:color w:val="auto"/>
          <w:sz w:val="24"/>
          <w:szCs w:val="24"/>
          <w:lang w:val="en-US" w:eastAsia="ru-RU"/>
        </w:rPr>
        <w:t>block</w:t>
      </w:r>
      <w:r w:rsidRPr="00E27EED">
        <w:rPr>
          <w:rStyle w:val="s19"/>
          <w:rFonts w:eastAsiaTheme="minorEastAsia"/>
          <w:color w:val="auto"/>
          <w:sz w:val="24"/>
          <w:szCs w:val="24"/>
          <w:lang w:val="en-US" w:eastAsia="ru-RU"/>
        </w:rPr>
        <w:t>:</w:t>
      </w:r>
    </w:p>
    <w:p w:rsidR="00E67371" w:rsidRPr="00E27EED" w:rsidRDefault="00E67371" w:rsidP="001C68BB">
      <w:pPr>
        <w:pStyle w:val="a9"/>
        <w:numPr>
          <w:ilvl w:val="0"/>
          <w:numId w:val="6"/>
        </w:numPr>
        <w:spacing w:line="240" w:lineRule="auto"/>
        <w:ind w:left="993" w:hanging="709"/>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Retail Business Non-Performing Assets </w:t>
      </w:r>
      <w:r w:rsidR="00B62C1B">
        <w:rPr>
          <w:rStyle w:val="s19"/>
          <w:rFonts w:eastAsiaTheme="minorEastAsia"/>
          <w:color w:val="auto"/>
          <w:sz w:val="24"/>
          <w:szCs w:val="24"/>
          <w:lang w:val="en-US" w:eastAsia="ru-RU"/>
        </w:rPr>
        <w:t>Division</w:t>
      </w:r>
    </w:p>
    <w:p w:rsidR="00E67371" w:rsidRPr="00E27EED" w:rsidRDefault="00E67371" w:rsidP="001C68BB">
      <w:pPr>
        <w:pStyle w:val="a9"/>
        <w:numPr>
          <w:ilvl w:val="0"/>
          <w:numId w:val="14"/>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Field Collection </w:t>
      </w:r>
      <w:r w:rsidR="00B62C1B">
        <w:rPr>
          <w:rStyle w:val="s19"/>
          <w:rFonts w:eastAsiaTheme="minorEastAsia"/>
          <w:color w:val="auto"/>
          <w:sz w:val="24"/>
          <w:szCs w:val="24"/>
          <w:lang w:val="en-US" w:eastAsia="ru-RU"/>
        </w:rPr>
        <w:t>Unit</w:t>
      </w:r>
    </w:p>
    <w:p w:rsidR="00E67371" w:rsidRPr="00E27EED" w:rsidRDefault="00E67371" w:rsidP="001C68BB">
      <w:pPr>
        <w:pStyle w:val="a9"/>
        <w:numPr>
          <w:ilvl w:val="0"/>
          <w:numId w:val="14"/>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Non-Performing Assets Support </w:t>
      </w:r>
      <w:r w:rsidR="00B62C1B">
        <w:rPr>
          <w:rStyle w:val="s19"/>
          <w:rFonts w:eastAsiaTheme="minorEastAsia"/>
          <w:color w:val="auto"/>
          <w:sz w:val="24"/>
          <w:szCs w:val="24"/>
          <w:lang w:val="en-US" w:eastAsia="ru-RU"/>
        </w:rPr>
        <w:t>Unit</w:t>
      </w:r>
    </w:p>
    <w:p w:rsidR="00E67371" w:rsidRPr="00E27EED" w:rsidRDefault="00E67371" w:rsidP="001C68BB">
      <w:pPr>
        <w:pStyle w:val="a9"/>
        <w:numPr>
          <w:ilvl w:val="0"/>
          <w:numId w:val="14"/>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Claims and Enforcement </w:t>
      </w:r>
      <w:r w:rsidR="00B62C1B">
        <w:rPr>
          <w:rStyle w:val="s19"/>
          <w:rFonts w:eastAsiaTheme="minorEastAsia"/>
          <w:color w:val="auto"/>
          <w:sz w:val="24"/>
          <w:szCs w:val="24"/>
          <w:lang w:val="en-US" w:eastAsia="ru-RU"/>
        </w:rPr>
        <w:t>Proceedings Unit</w:t>
      </w:r>
    </w:p>
    <w:p w:rsidR="00E67371" w:rsidRPr="00E27EED" w:rsidRDefault="00E67371" w:rsidP="001C68BB">
      <w:pPr>
        <w:pStyle w:val="a9"/>
        <w:numPr>
          <w:ilvl w:val="0"/>
          <w:numId w:val="14"/>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lastRenderedPageBreak/>
        <w:t xml:space="preserve">Remote Collection </w:t>
      </w:r>
      <w:r w:rsidR="00B62C1B">
        <w:rPr>
          <w:rStyle w:val="s19"/>
          <w:rFonts w:eastAsiaTheme="minorEastAsia"/>
          <w:color w:val="auto"/>
          <w:sz w:val="24"/>
          <w:szCs w:val="24"/>
          <w:lang w:val="en-US" w:eastAsia="ru-RU"/>
        </w:rPr>
        <w:t>Unit</w:t>
      </w:r>
    </w:p>
    <w:p w:rsidR="00E67371" w:rsidRPr="00E27EED" w:rsidRDefault="00B62C1B" w:rsidP="001C68BB">
      <w:pPr>
        <w:pStyle w:val="a9"/>
        <w:numPr>
          <w:ilvl w:val="0"/>
          <w:numId w:val="6"/>
        </w:numPr>
        <w:spacing w:line="240" w:lineRule="auto"/>
        <w:ind w:left="993" w:hanging="709"/>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Corporate</w:t>
      </w:r>
      <w:r w:rsidR="00E67371" w:rsidRPr="00E27EED">
        <w:rPr>
          <w:rStyle w:val="s19"/>
          <w:rFonts w:eastAsiaTheme="minorEastAsia"/>
          <w:color w:val="auto"/>
          <w:sz w:val="24"/>
          <w:szCs w:val="24"/>
          <w:lang w:val="en-US" w:eastAsia="ru-RU"/>
        </w:rPr>
        <w:t xml:space="preserve"> Non-Performing Loans</w:t>
      </w:r>
      <w:r>
        <w:rPr>
          <w:rStyle w:val="s19"/>
          <w:rFonts w:eastAsiaTheme="minorEastAsia"/>
          <w:color w:val="auto"/>
          <w:sz w:val="24"/>
          <w:szCs w:val="24"/>
          <w:lang w:val="en-US" w:eastAsia="ru-RU"/>
        </w:rPr>
        <w:t xml:space="preserve"> Division</w:t>
      </w:r>
    </w:p>
    <w:p w:rsidR="00E67371" w:rsidRPr="00E27EED" w:rsidRDefault="00AF13AC" w:rsidP="001C68BB">
      <w:pPr>
        <w:numPr>
          <w:ilvl w:val="0"/>
          <w:numId w:val="15"/>
        </w:numPr>
        <w:spacing w:after="0" w:line="240" w:lineRule="auto"/>
        <w:rPr>
          <w:rStyle w:val="s19"/>
          <w:rFonts w:eastAsiaTheme="minorEastAsia"/>
          <w:color w:val="auto"/>
          <w:sz w:val="24"/>
          <w:szCs w:val="24"/>
          <w:lang w:val="en-US" w:eastAsia="ru-RU"/>
        </w:rPr>
      </w:pPr>
      <w:hyperlink r:id="rId9" w:history="1">
        <w:r w:rsidR="00E67371" w:rsidRPr="00E27EED">
          <w:rPr>
            <w:rStyle w:val="s19"/>
            <w:rFonts w:eastAsiaTheme="minorEastAsia"/>
            <w:color w:val="auto"/>
            <w:sz w:val="24"/>
            <w:szCs w:val="24"/>
            <w:lang w:val="en-US" w:eastAsia="ru-RU"/>
          </w:rPr>
          <w:t xml:space="preserve">Analysis, Reporting, and Non-Core Assets </w:t>
        </w:r>
        <w:r w:rsidR="00B62C1B">
          <w:rPr>
            <w:rStyle w:val="s19"/>
            <w:rFonts w:eastAsiaTheme="minorEastAsia"/>
            <w:color w:val="auto"/>
            <w:sz w:val="24"/>
            <w:szCs w:val="24"/>
            <w:lang w:val="en-US" w:eastAsia="ru-RU"/>
          </w:rPr>
          <w:t>Unit</w:t>
        </w:r>
      </w:hyperlink>
    </w:p>
    <w:p w:rsidR="00E67371" w:rsidRPr="00E27EED" w:rsidRDefault="00E67371" w:rsidP="001C68BB">
      <w:pPr>
        <w:pStyle w:val="a9"/>
        <w:numPr>
          <w:ilvl w:val="0"/>
          <w:numId w:val="15"/>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 Corporate Non-Performing Debt Management </w:t>
      </w:r>
      <w:r w:rsidR="00792193">
        <w:rPr>
          <w:rStyle w:val="s19"/>
          <w:rFonts w:eastAsiaTheme="minorEastAsia"/>
          <w:color w:val="auto"/>
          <w:sz w:val="24"/>
          <w:szCs w:val="24"/>
          <w:lang w:val="en-US" w:eastAsia="ru-RU"/>
        </w:rPr>
        <w:t>Unit</w:t>
      </w:r>
    </w:p>
    <w:p w:rsidR="00E67371" w:rsidRPr="00E27EED" w:rsidRDefault="00E67371" w:rsidP="000B0C64">
      <w:pPr>
        <w:pStyle w:val="a9"/>
        <w:spacing w:line="240" w:lineRule="auto"/>
        <w:rPr>
          <w:rStyle w:val="s19"/>
          <w:color w:val="auto"/>
          <w:sz w:val="24"/>
          <w:szCs w:val="24"/>
          <w:lang w:val="en-US"/>
        </w:rPr>
      </w:pPr>
    </w:p>
    <w:p w:rsidR="00E67371" w:rsidRPr="00E27EED" w:rsidRDefault="00792193" w:rsidP="000B0C64">
      <w:pPr>
        <w:pStyle w:val="a9"/>
        <w:spacing w:line="240" w:lineRule="auto"/>
        <w:rPr>
          <w:rStyle w:val="s19"/>
          <w:color w:val="auto"/>
          <w:sz w:val="24"/>
          <w:szCs w:val="24"/>
          <w:lang w:val="en-US"/>
        </w:rPr>
      </w:pPr>
      <w:r>
        <w:rPr>
          <w:rStyle w:val="s19"/>
          <w:color w:val="auto"/>
          <w:sz w:val="24"/>
          <w:szCs w:val="24"/>
          <w:lang w:val="en-US"/>
        </w:rPr>
        <w:t xml:space="preserve">The </w:t>
      </w:r>
      <w:r w:rsidR="00E67371" w:rsidRPr="00E27EED">
        <w:rPr>
          <w:rStyle w:val="s19"/>
          <w:color w:val="auto"/>
          <w:sz w:val="24"/>
          <w:szCs w:val="24"/>
          <w:lang w:val="en-US"/>
        </w:rPr>
        <w:t>Second Line of Defense:</w:t>
      </w:r>
    </w:p>
    <w:p w:rsidR="00E67371" w:rsidRPr="00E27EED" w:rsidRDefault="00E67371" w:rsidP="001C68BB">
      <w:pPr>
        <w:pStyle w:val="a9"/>
        <w:numPr>
          <w:ilvl w:val="0"/>
          <w:numId w:val="9"/>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Risk Department</w:t>
      </w:r>
    </w:p>
    <w:p w:rsidR="00E67371" w:rsidRPr="00E27EED" w:rsidRDefault="00E67371" w:rsidP="001C68BB">
      <w:pPr>
        <w:pStyle w:val="a9"/>
        <w:numPr>
          <w:ilvl w:val="0"/>
          <w:numId w:val="10"/>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Corporate Business Credit Risk Division</w:t>
      </w:r>
    </w:p>
    <w:p w:rsidR="00E67371" w:rsidRPr="00E27EED" w:rsidRDefault="00E67371" w:rsidP="001C68BB">
      <w:pPr>
        <w:pStyle w:val="a9"/>
        <w:numPr>
          <w:ilvl w:val="0"/>
          <w:numId w:val="10"/>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Retail Borrower Screening Division</w:t>
      </w:r>
    </w:p>
    <w:p w:rsidR="00E67371" w:rsidRPr="00E27EED" w:rsidRDefault="00E67371" w:rsidP="001C68BB">
      <w:pPr>
        <w:pStyle w:val="a9"/>
        <w:numPr>
          <w:ilvl w:val="0"/>
          <w:numId w:val="10"/>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Retail Credit Risk Division</w:t>
      </w:r>
    </w:p>
    <w:p w:rsidR="00E67371" w:rsidRPr="00E27EED" w:rsidRDefault="00E67371" w:rsidP="001C68BB">
      <w:pPr>
        <w:pStyle w:val="a9"/>
        <w:numPr>
          <w:ilvl w:val="0"/>
          <w:numId w:val="10"/>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Market Risk and Portfolio Analysis D</w:t>
      </w:r>
      <w:r w:rsidR="00792193">
        <w:rPr>
          <w:rStyle w:val="s19"/>
          <w:rFonts w:eastAsiaTheme="minorEastAsia"/>
          <w:color w:val="auto"/>
          <w:sz w:val="24"/>
          <w:szCs w:val="24"/>
          <w:lang w:val="en-US" w:eastAsia="ru-RU"/>
        </w:rPr>
        <w:t>ivision</w:t>
      </w:r>
    </w:p>
    <w:p w:rsidR="00E67371" w:rsidRPr="00E27EED" w:rsidRDefault="00E67371" w:rsidP="001C68BB">
      <w:pPr>
        <w:pStyle w:val="a9"/>
        <w:numPr>
          <w:ilvl w:val="0"/>
          <w:numId w:val="10"/>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Collateral </w:t>
      </w:r>
      <w:r w:rsidR="00792193">
        <w:rPr>
          <w:rStyle w:val="s19"/>
          <w:rFonts w:eastAsiaTheme="minorEastAsia"/>
          <w:color w:val="auto"/>
          <w:sz w:val="24"/>
          <w:szCs w:val="24"/>
          <w:lang w:val="en-US" w:eastAsia="ru-RU"/>
        </w:rPr>
        <w:t>Management Division</w:t>
      </w:r>
    </w:p>
    <w:p w:rsidR="00E67371" w:rsidRPr="00E27EED" w:rsidRDefault="00E67371" w:rsidP="001C68BB">
      <w:pPr>
        <w:pStyle w:val="a9"/>
        <w:numPr>
          <w:ilvl w:val="0"/>
          <w:numId w:val="9"/>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Legal Department</w:t>
      </w:r>
    </w:p>
    <w:p w:rsidR="00E67371" w:rsidRPr="00E27EED" w:rsidRDefault="00E67371" w:rsidP="001C68BB">
      <w:pPr>
        <w:pStyle w:val="a9"/>
        <w:numPr>
          <w:ilvl w:val="0"/>
          <w:numId w:val="11"/>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Legal Support for Lending Operations D</w:t>
      </w:r>
      <w:r w:rsidR="00792193">
        <w:rPr>
          <w:rStyle w:val="s19"/>
          <w:rFonts w:eastAsiaTheme="minorEastAsia"/>
          <w:color w:val="auto"/>
          <w:sz w:val="24"/>
          <w:szCs w:val="24"/>
          <w:lang w:val="en-US" w:eastAsia="ru-RU"/>
        </w:rPr>
        <w:t>ivision</w:t>
      </w:r>
    </w:p>
    <w:p w:rsidR="00E67371" w:rsidRPr="00E27EED" w:rsidRDefault="00E67371" w:rsidP="001C68BB">
      <w:pPr>
        <w:pStyle w:val="a9"/>
        <w:numPr>
          <w:ilvl w:val="0"/>
          <w:numId w:val="11"/>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Banking Product Methodology and Development </w:t>
      </w:r>
      <w:r w:rsidR="00792193">
        <w:rPr>
          <w:rStyle w:val="s19"/>
          <w:rFonts w:eastAsiaTheme="minorEastAsia"/>
          <w:color w:val="auto"/>
          <w:sz w:val="24"/>
          <w:szCs w:val="24"/>
          <w:lang w:val="en-US" w:eastAsia="ru-RU"/>
        </w:rPr>
        <w:t>Unit</w:t>
      </w:r>
    </w:p>
    <w:p w:rsidR="00E67371" w:rsidRPr="00E27EED" w:rsidRDefault="00E67371" w:rsidP="001C68BB">
      <w:pPr>
        <w:pStyle w:val="a9"/>
        <w:numPr>
          <w:ilvl w:val="0"/>
          <w:numId w:val="11"/>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Legal Support for </w:t>
      </w:r>
      <w:r w:rsidR="00792193" w:rsidRPr="00E27EED">
        <w:rPr>
          <w:rStyle w:val="s19"/>
          <w:rFonts w:eastAsiaTheme="minorEastAsia"/>
          <w:color w:val="auto"/>
          <w:sz w:val="24"/>
          <w:szCs w:val="24"/>
          <w:lang w:val="en-US" w:eastAsia="ru-RU"/>
        </w:rPr>
        <w:t xml:space="preserve">Head Office </w:t>
      </w:r>
      <w:r w:rsidRPr="00E27EED">
        <w:rPr>
          <w:rStyle w:val="s19"/>
          <w:rFonts w:eastAsiaTheme="minorEastAsia"/>
          <w:color w:val="auto"/>
          <w:sz w:val="24"/>
          <w:szCs w:val="24"/>
          <w:lang w:val="en-US" w:eastAsia="ru-RU"/>
        </w:rPr>
        <w:t xml:space="preserve">Banking Operations </w:t>
      </w:r>
      <w:r w:rsidR="00792193">
        <w:rPr>
          <w:rStyle w:val="s19"/>
          <w:rFonts w:eastAsiaTheme="minorEastAsia"/>
          <w:color w:val="auto"/>
          <w:sz w:val="24"/>
          <w:szCs w:val="24"/>
          <w:lang w:val="en-US" w:eastAsia="ru-RU"/>
        </w:rPr>
        <w:t>Unit</w:t>
      </w:r>
    </w:p>
    <w:p w:rsidR="00E67371" w:rsidRPr="00E27EED" w:rsidRDefault="00E67371" w:rsidP="001C68BB">
      <w:pPr>
        <w:pStyle w:val="a9"/>
        <w:numPr>
          <w:ilvl w:val="0"/>
          <w:numId w:val="11"/>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Legal Support for </w:t>
      </w:r>
      <w:r w:rsidR="00792193" w:rsidRPr="00E27EED">
        <w:rPr>
          <w:rStyle w:val="s19"/>
          <w:rFonts w:eastAsiaTheme="minorEastAsia"/>
          <w:color w:val="auto"/>
          <w:sz w:val="24"/>
          <w:szCs w:val="24"/>
          <w:lang w:val="en-US" w:eastAsia="ru-RU"/>
        </w:rPr>
        <w:t xml:space="preserve">Branch </w:t>
      </w:r>
      <w:r w:rsidRPr="00E27EED">
        <w:rPr>
          <w:rStyle w:val="s19"/>
          <w:rFonts w:eastAsiaTheme="minorEastAsia"/>
          <w:color w:val="auto"/>
          <w:sz w:val="24"/>
          <w:szCs w:val="24"/>
          <w:lang w:val="en-US" w:eastAsia="ru-RU"/>
        </w:rPr>
        <w:t xml:space="preserve">Banking Operations </w:t>
      </w:r>
      <w:r w:rsidR="00792193">
        <w:rPr>
          <w:rStyle w:val="s19"/>
          <w:rFonts w:eastAsiaTheme="minorEastAsia"/>
          <w:color w:val="auto"/>
          <w:sz w:val="24"/>
          <w:szCs w:val="24"/>
          <w:lang w:val="en-US" w:eastAsia="ru-RU"/>
        </w:rPr>
        <w:t>Unit</w:t>
      </w:r>
    </w:p>
    <w:p w:rsidR="00E67371" w:rsidRPr="00E27EED" w:rsidRDefault="00E67371" w:rsidP="001C68BB">
      <w:pPr>
        <w:pStyle w:val="a9"/>
        <w:numPr>
          <w:ilvl w:val="0"/>
          <w:numId w:val="11"/>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Litigation Legal Support </w:t>
      </w:r>
      <w:r w:rsidR="00792193">
        <w:rPr>
          <w:rStyle w:val="s19"/>
          <w:rFonts w:eastAsiaTheme="minorEastAsia"/>
          <w:color w:val="auto"/>
          <w:sz w:val="24"/>
          <w:szCs w:val="24"/>
          <w:lang w:val="en-US" w:eastAsia="ru-RU"/>
        </w:rPr>
        <w:t>Unit</w:t>
      </w:r>
    </w:p>
    <w:p w:rsidR="00E67371" w:rsidRPr="00E27EED" w:rsidRDefault="00E67371" w:rsidP="001C68BB">
      <w:pPr>
        <w:pStyle w:val="a9"/>
        <w:numPr>
          <w:ilvl w:val="0"/>
          <w:numId w:val="9"/>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Security Department</w:t>
      </w:r>
    </w:p>
    <w:p w:rsidR="00E67371" w:rsidRPr="00E27EED" w:rsidRDefault="00E67371" w:rsidP="001C68BB">
      <w:pPr>
        <w:pStyle w:val="a9"/>
        <w:numPr>
          <w:ilvl w:val="0"/>
          <w:numId w:val="12"/>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Information Security </w:t>
      </w:r>
      <w:r w:rsidR="00792193">
        <w:rPr>
          <w:rStyle w:val="s19"/>
          <w:rFonts w:eastAsiaTheme="minorEastAsia"/>
          <w:color w:val="auto"/>
          <w:sz w:val="24"/>
          <w:szCs w:val="24"/>
          <w:lang w:val="en-US" w:eastAsia="ru-RU"/>
        </w:rPr>
        <w:t>Division</w:t>
      </w:r>
    </w:p>
    <w:p w:rsidR="00E67371" w:rsidRPr="00E27EED" w:rsidRDefault="00E67371" w:rsidP="001C68BB">
      <w:pPr>
        <w:pStyle w:val="a9"/>
        <w:numPr>
          <w:ilvl w:val="0"/>
          <w:numId w:val="12"/>
        </w:numPr>
        <w:spacing w:line="240" w:lineRule="auto"/>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Information and Corporate Interests Protection</w:t>
      </w:r>
      <w:r w:rsidR="00792193">
        <w:rPr>
          <w:rStyle w:val="s19"/>
          <w:rFonts w:eastAsiaTheme="minorEastAsia"/>
          <w:color w:val="auto"/>
          <w:sz w:val="24"/>
          <w:szCs w:val="24"/>
          <w:lang w:val="en-US" w:eastAsia="ru-RU"/>
        </w:rPr>
        <w:t xml:space="preserve"> Division</w:t>
      </w:r>
    </w:p>
    <w:p w:rsidR="00E67371" w:rsidRPr="00E27EED" w:rsidRDefault="00E67371" w:rsidP="000B0C64">
      <w:pPr>
        <w:pStyle w:val="pj"/>
        <w:ind w:firstLine="0"/>
        <w:rPr>
          <w:b/>
          <w:color w:val="auto"/>
          <w:lang w:val="en-US"/>
        </w:rPr>
      </w:pPr>
      <w:r w:rsidRPr="00E27EED">
        <w:rPr>
          <w:rStyle w:val="s19"/>
          <w:b/>
          <w:color w:val="auto"/>
          <w:lang w:val="en-US"/>
        </w:rPr>
        <w:t xml:space="preserve">Procedures for Interaction Among </w:t>
      </w:r>
      <w:r w:rsidR="00792193">
        <w:rPr>
          <w:rStyle w:val="s19"/>
          <w:b/>
          <w:color w:val="auto"/>
          <w:lang w:val="en-US"/>
        </w:rPr>
        <w:t>Subdivisions</w:t>
      </w:r>
      <w:r w:rsidRPr="00E27EED">
        <w:rPr>
          <w:rStyle w:val="s19"/>
          <w:b/>
          <w:color w:val="auto"/>
          <w:lang w:val="en-US"/>
        </w:rPr>
        <w:t xml:space="preserve"> Involved in Credit Risk Management; Information on Methods and Procedures for Identifying, Assessing, and Managing Risks</w:t>
      </w:r>
    </w:p>
    <w:p w:rsidR="00E67371" w:rsidRPr="00E27EED" w:rsidRDefault="00E67371" w:rsidP="000B0C64">
      <w:pPr>
        <w:spacing w:line="240" w:lineRule="auto"/>
        <w:ind w:firstLine="567"/>
        <w:jc w:val="both"/>
        <w:rPr>
          <w:rStyle w:val="s19"/>
          <w:color w:val="auto"/>
          <w:sz w:val="24"/>
          <w:szCs w:val="24"/>
          <w:lang w:val="en-US"/>
        </w:rPr>
      </w:pPr>
      <w:r w:rsidRPr="00E27EED">
        <w:rPr>
          <w:rStyle w:val="s19"/>
          <w:color w:val="auto"/>
          <w:sz w:val="24"/>
          <w:szCs w:val="24"/>
          <w:lang w:val="en-US"/>
        </w:rPr>
        <w:t xml:space="preserve">The Procedure for Interaction Among </w:t>
      </w:r>
      <w:r w:rsidR="00792193">
        <w:rPr>
          <w:rStyle w:val="s19"/>
          <w:color w:val="auto"/>
          <w:sz w:val="24"/>
          <w:szCs w:val="24"/>
          <w:lang w:val="en-US"/>
        </w:rPr>
        <w:t>Subdivisions</w:t>
      </w:r>
      <w:r w:rsidRPr="00E27EED">
        <w:rPr>
          <w:rStyle w:val="s19"/>
          <w:color w:val="auto"/>
          <w:sz w:val="24"/>
          <w:szCs w:val="24"/>
          <w:lang w:val="en-US"/>
        </w:rPr>
        <w:t xml:space="preserve"> Involved in Credit Risk Management (hereinafter referred to as the “Procedure”) is established in accordance with international standards, the requirements of the legislation of the Republic of Kazakhstan, VTB Group, and the Bank’s Credit Policy. </w:t>
      </w:r>
    </w:p>
    <w:p w:rsidR="00E67371" w:rsidRPr="00E27EED" w:rsidRDefault="00E67371" w:rsidP="000B0C64">
      <w:pPr>
        <w:spacing w:line="240" w:lineRule="auto"/>
        <w:ind w:firstLine="567"/>
        <w:jc w:val="both"/>
        <w:rPr>
          <w:rStyle w:val="s19"/>
          <w:color w:val="auto"/>
          <w:sz w:val="24"/>
          <w:szCs w:val="24"/>
          <w:lang w:val="en-US"/>
        </w:rPr>
      </w:pPr>
      <w:r w:rsidRPr="00E27EED">
        <w:rPr>
          <w:rStyle w:val="s19"/>
          <w:color w:val="auto"/>
          <w:sz w:val="24"/>
          <w:szCs w:val="24"/>
          <w:lang w:val="en-US"/>
        </w:rPr>
        <w:t xml:space="preserve">The </w:t>
      </w:r>
      <w:r w:rsidR="00792193" w:rsidRPr="00792193">
        <w:rPr>
          <w:rStyle w:val="s19"/>
          <w:color w:val="auto"/>
          <w:sz w:val="24"/>
          <w:szCs w:val="24"/>
          <w:lang w:val="en-US"/>
        </w:rPr>
        <w:t>procedure is intended to ensure the timely identification of credit risks and the assessment of their acceptability within the lending process</w:t>
      </w:r>
      <w:r w:rsidRPr="00E27EED">
        <w:rPr>
          <w:rStyle w:val="s19"/>
          <w:color w:val="auto"/>
          <w:sz w:val="24"/>
          <w:szCs w:val="24"/>
          <w:lang w:val="en-US"/>
        </w:rPr>
        <w:t>.</w:t>
      </w:r>
    </w:p>
    <w:p w:rsidR="00E67371" w:rsidRPr="00E27EED" w:rsidRDefault="00E67371" w:rsidP="000B0C64">
      <w:pPr>
        <w:spacing w:after="0" w:line="240" w:lineRule="auto"/>
        <w:ind w:firstLine="567"/>
        <w:jc w:val="both"/>
        <w:rPr>
          <w:rStyle w:val="s19"/>
          <w:color w:val="auto"/>
          <w:sz w:val="24"/>
          <w:szCs w:val="24"/>
          <w:lang w:val="en-US"/>
        </w:rPr>
      </w:pPr>
      <w:r w:rsidRPr="00E27EED">
        <w:rPr>
          <w:rStyle w:val="s19"/>
          <w:color w:val="auto"/>
          <w:sz w:val="24"/>
          <w:szCs w:val="24"/>
          <w:lang w:val="en-US"/>
        </w:rPr>
        <w:t xml:space="preserve">The credit risk management system consists of three lines of defense. </w:t>
      </w:r>
    </w:p>
    <w:p w:rsidR="00E67371" w:rsidRPr="00E27EED" w:rsidRDefault="00E67371" w:rsidP="000B0C64">
      <w:pPr>
        <w:spacing w:after="0" w:line="240" w:lineRule="auto"/>
        <w:ind w:firstLine="567"/>
        <w:jc w:val="both"/>
        <w:rPr>
          <w:rStyle w:val="s19"/>
          <w:color w:val="auto"/>
          <w:sz w:val="24"/>
          <w:szCs w:val="24"/>
          <w:lang w:val="en-US"/>
        </w:rPr>
      </w:pPr>
      <w:r w:rsidRPr="00E27EED">
        <w:rPr>
          <w:rStyle w:val="s19"/>
          <w:color w:val="auto"/>
          <w:sz w:val="24"/>
          <w:szCs w:val="24"/>
          <w:lang w:val="en-US"/>
        </w:rPr>
        <w:t xml:space="preserve">The first line consists of the business units. When extending credit to legal entities, the primary responsibility for identifying and managing credit risk rests with the </w:t>
      </w:r>
      <w:r w:rsidR="00E27EED">
        <w:rPr>
          <w:rStyle w:val="s19"/>
          <w:color w:val="auto"/>
          <w:sz w:val="24"/>
          <w:szCs w:val="24"/>
          <w:lang w:val="en-US"/>
        </w:rPr>
        <w:t>customer</w:t>
      </w:r>
      <w:r w:rsidRPr="00E27EED">
        <w:rPr>
          <w:rStyle w:val="s19"/>
          <w:color w:val="auto"/>
          <w:sz w:val="24"/>
          <w:szCs w:val="24"/>
          <w:lang w:val="en-US"/>
        </w:rPr>
        <w:t xml:space="preserve">-facing units, which are required to obtain all necessary information about the </w:t>
      </w:r>
      <w:r w:rsidR="00E27EED">
        <w:rPr>
          <w:rStyle w:val="s19"/>
          <w:color w:val="auto"/>
          <w:sz w:val="24"/>
          <w:szCs w:val="24"/>
          <w:lang w:val="en-US"/>
        </w:rPr>
        <w:t>customer</w:t>
      </w:r>
      <w:r w:rsidRPr="00E27EED">
        <w:rPr>
          <w:rStyle w:val="s19"/>
          <w:color w:val="auto"/>
          <w:sz w:val="24"/>
          <w:szCs w:val="24"/>
          <w:lang w:val="en-US"/>
        </w:rPr>
        <w:t xml:space="preserve"> in accordance with the KYC (Know Your Customer) principle, including data on the business, its executives, owners, related parties, and partners, as well as the necessary legal and financial documents. The </w:t>
      </w:r>
      <w:r w:rsidR="00E27EED">
        <w:rPr>
          <w:rStyle w:val="s19"/>
          <w:color w:val="auto"/>
          <w:sz w:val="24"/>
          <w:szCs w:val="24"/>
          <w:lang w:val="en-US"/>
        </w:rPr>
        <w:t>customer</w:t>
      </w:r>
      <w:r w:rsidRPr="00E27EED">
        <w:rPr>
          <w:rStyle w:val="s19"/>
          <w:color w:val="auto"/>
          <w:sz w:val="24"/>
          <w:szCs w:val="24"/>
          <w:lang w:val="en-US"/>
        </w:rPr>
        <w:t xml:space="preserve"> </w:t>
      </w:r>
      <w:r w:rsidR="00792193">
        <w:rPr>
          <w:rStyle w:val="s19"/>
          <w:color w:val="auto"/>
          <w:sz w:val="24"/>
          <w:szCs w:val="24"/>
          <w:lang w:val="en-US"/>
        </w:rPr>
        <w:t>sub</w:t>
      </w:r>
      <w:r w:rsidRPr="00E27EED">
        <w:rPr>
          <w:rStyle w:val="s19"/>
          <w:color w:val="auto"/>
          <w:sz w:val="24"/>
          <w:szCs w:val="24"/>
          <w:lang w:val="en-US"/>
        </w:rPr>
        <w:t xml:space="preserve">division’s task is to determine whether to establish or continue financing for the </w:t>
      </w:r>
      <w:r w:rsidR="00E27EED">
        <w:rPr>
          <w:rStyle w:val="s19"/>
          <w:color w:val="auto"/>
          <w:sz w:val="24"/>
          <w:szCs w:val="24"/>
          <w:lang w:val="en-US"/>
        </w:rPr>
        <w:t>customer</w:t>
      </w:r>
      <w:r w:rsidRPr="00E27EED">
        <w:rPr>
          <w:rStyle w:val="s19"/>
          <w:color w:val="auto"/>
          <w:sz w:val="24"/>
          <w:szCs w:val="24"/>
          <w:lang w:val="en-US"/>
        </w:rPr>
        <w:t xml:space="preserve">. </w:t>
      </w:r>
    </w:p>
    <w:p w:rsidR="00E67371" w:rsidRPr="00E27EED" w:rsidRDefault="00E67371" w:rsidP="000B0C64">
      <w:pPr>
        <w:spacing w:after="0" w:line="240" w:lineRule="auto"/>
        <w:ind w:firstLine="567"/>
        <w:jc w:val="both"/>
        <w:rPr>
          <w:rStyle w:val="s19"/>
          <w:color w:val="auto"/>
          <w:sz w:val="24"/>
          <w:szCs w:val="24"/>
          <w:lang w:val="en-US"/>
        </w:rPr>
      </w:pPr>
      <w:r w:rsidRPr="00E27EED">
        <w:rPr>
          <w:rStyle w:val="s19"/>
          <w:color w:val="auto"/>
          <w:sz w:val="24"/>
          <w:szCs w:val="24"/>
          <w:lang w:val="en-US"/>
        </w:rPr>
        <w:t xml:space="preserve">The credit </w:t>
      </w:r>
      <w:r w:rsidR="00792193">
        <w:rPr>
          <w:rStyle w:val="s19"/>
          <w:color w:val="auto"/>
          <w:sz w:val="24"/>
          <w:szCs w:val="24"/>
          <w:lang w:val="en-US"/>
        </w:rPr>
        <w:t>subdivisions</w:t>
      </w:r>
      <w:r w:rsidRPr="00E27EED">
        <w:rPr>
          <w:rStyle w:val="s19"/>
          <w:color w:val="auto"/>
          <w:sz w:val="24"/>
          <w:szCs w:val="24"/>
          <w:lang w:val="en-US"/>
        </w:rPr>
        <w:t xml:space="preserve"> are directly responsible for analyzing the project and determining financing options and feasibility within the business units. For small businesses, both functions are performed by an employee of the Bank’s branch credit </w:t>
      </w:r>
      <w:r w:rsidR="00792193">
        <w:rPr>
          <w:rStyle w:val="s19"/>
          <w:color w:val="auto"/>
          <w:sz w:val="24"/>
          <w:szCs w:val="24"/>
          <w:lang w:val="en-US"/>
        </w:rPr>
        <w:t>subdivision</w:t>
      </w:r>
      <w:r w:rsidRPr="00E27EED">
        <w:rPr>
          <w:rStyle w:val="s19"/>
          <w:color w:val="auto"/>
          <w:sz w:val="24"/>
          <w:szCs w:val="24"/>
          <w:lang w:val="en-US"/>
        </w:rPr>
        <w:t xml:space="preserve">. The credit </w:t>
      </w:r>
      <w:r w:rsidR="00792193">
        <w:rPr>
          <w:rStyle w:val="s19"/>
          <w:color w:val="auto"/>
          <w:sz w:val="24"/>
          <w:szCs w:val="24"/>
          <w:lang w:val="en-US"/>
        </w:rPr>
        <w:t>subdivision</w:t>
      </w:r>
      <w:r w:rsidRPr="00E27EED">
        <w:rPr>
          <w:rStyle w:val="s19"/>
          <w:color w:val="auto"/>
          <w:sz w:val="24"/>
          <w:szCs w:val="24"/>
          <w:lang w:val="en-US"/>
        </w:rPr>
        <w:t xml:space="preserve"> also conducts an in-depth financial analysis and requests any necessary additional information. If new related parties are identified, financial documentation is also requested for them. The </w:t>
      </w:r>
      <w:r w:rsidR="00E27EED">
        <w:rPr>
          <w:rStyle w:val="s19"/>
          <w:color w:val="auto"/>
          <w:sz w:val="24"/>
          <w:szCs w:val="24"/>
          <w:lang w:val="en-US"/>
        </w:rPr>
        <w:t>customer</w:t>
      </w:r>
      <w:r w:rsidRPr="00E27EED">
        <w:rPr>
          <w:rStyle w:val="s19"/>
          <w:color w:val="auto"/>
          <w:sz w:val="24"/>
          <w:szCs w:val="24"/>
          <w:lang w:val="en-US"/>
        </w:rPr>
        <w:t xml:space="preserve">’s contractual framework is reviewed. </w:t>
      </w:r>
    </w:p>
    <w:p w:rsidR="00E67371" w:rsidRPr="00E27EED" w:rsidRDefault="00E67371" w:rsidP="000B0C64">
      <w:pPr>
        <w:spacing w:after="0" w:line="240" w:lineRule="auto"/>
        <w:ind w:firstLine="567"/>
        <w:jc w:val="both"/>
        <w:rPr>
          <w:rStyle w:val="s19"/>
          <w:color w:val="auto"/>
          <w:sz w:val="24"/>
          <w:szCs w:val="24"/>
          <w:lang w:val="en-US"/>
        </w:rPr>
      </w:pPr>
      <w:r w:rsidRPr="00E27EED">
        <w:rPr>
          <w:rStyle w:val="s19"/>
          <w:color w:val="auto"/>
          <w:sz w:val="24"/>
          <w:szCs w:val="24"/>
          <w:lang w:val="en-US"/>
        </w:rPr>
        <w:t xml:space="preserve">The second line of defense is carried out by several independent </w:t>
      </w:r>
      <w:r w:rsidR="00792193">
        <w:rPr>
          <w:rStyle w:val="s19"/>
          <w:color w:val="auto"/>
          <w:sz w:val="24"/>
          <w:szCs w:val="24"/>
          <w:lang w:val="en-US"/>
        </w:rPr>
        <w:t>subdivisions</w:t>
      </w:r>
      <w:r w:rsidRPr="00E27EED">
        <w:rPr>
          <w:rStyle w:val="s19"/>
          <w:color w:val="auto"/>
          <w:sz w:val="24"/>
          <w:szCs w:val="24"/>
          <w:lang w:val="en-US"/>
        </w:rPr>
        <w:t>:</w:t>
      </w:r>
    </w:p>
    <w:p w:rsidR="00E67371" w:rsidRPr="00E27EED" w:rsidRDefault="00E67371" w:rsidP="001C68BB">
      <w:pPr>
        <w:pStyle w:val="a9"/>
        <w:numPr>
          <w:ilvl w:val="0"/>
          <w:numId w:val="13"/>
        </w:numPr>
        <w:spacing w:after="0" w:line="240" w:lineRule="auto"/>
        <w:jc w:val="both"/>
        <w:rPr>
          <w:rStyle w:val="s19"/>
          <w:color w:val="auto"/>
          <w:sz w:val="24"/>
          <w:szCs w:val="24"/>
          <w:lang w:val="en-US"/>
        </w:rPr>
      </w:pPr>
      <w:r w:rsidRPr="00E27EED">
        <w:rPr>
          <w:rStyle w:val="s19"/>
          <w:color w:val="auto"/>
          <w:sz w:val="24"/>
          <w:szCs w:val="24"/>
          <w:lang w:val="en-US"/>
        </w:rPr>
        <w:t xml:space="preserve">The Security Department conducts security checks on the </w:t>
      </w:r>
      <w:r w:rsidR="00E27EED">
        <w:rPr>
          <w:rStyle w:val="s19"/>
          <w:color w:val="auto"/>
          <w:sz w:val="24"/>
          <w:szCs w:val="24"/>
          <w:lang w:val="en-US"/>
        </w:rPr>
        <w:t>customer</w:t>
      </w:r>
      <w:r w:rsidRPr="00E27EED">
        <w:rPr>
          <w:rStyle w:val="s19"/>
          <w:color w:val="auto"/>
          <w:sz w:val="24"/>
          <w:szCs w:val="24"/>
          <w:lang w:val="en-US"/>
        </w:rPr>
        <w:t xml:space="preserve"> and related parties.</w:t>
      </w:r>
    </w:p>
    <w:p w:rsidR="00E67371" w:rsidRPr="00E27EED" w:rsidRDefault="00E67371" w:rsidP="001C68BB">
      <w:pPr>
        <w:pStyle w:val="a9"/>
        <w:numPr>
          <w:ilvl w:val="0"/>
          <w:numId w:val="13"/>
        </w:numPr>
        <w:spacing w:after="0" w:line="240" w:lineRule="auto"/>
        <w:jc w:val="both"/>
        <w:rPr>
          <w:rStyle w:val="s19"/>
          <w:color w:val="auto"/>
          <w:sz w:val="24"/>
          <w:szCs w:val="24"/>
          <w:lang w:val="en-US"/>
        </w:rPr>
      </w:pPr>
      <w:r w:rsidRPr="00E27EED">
        <w:rPr>
          <w:rStyle w:val="s19"/>
          <w:color w:val="auto"/>
          <w:sz w:val="24"/>
          <w:szCs w:val="24"/>
          <w:lang w:val="en-US"/>
        </w:rPr>
        <w:t xml:space="preserve">The Legal Department performs a </w:t>
      </w:r>
      <w:r w:rsidR="00792193">
        <w:rPr>
          <w:rStyle w:val="s19"/>
          <w:color w:val="auto"/>
          <w:sz w:val="24"/>
          <w:szCs w:val="24"/>
          <w:lang w:val="en-US"/>
        </w:rPr>
        <w:t xml:space="preserve">due diligence </w:t>
      </w:r>
      <w:r w:rsidRPr="00E27EED">
        <w:rPr>
          <w:rStyle w:val="s19"/>
          <w:color w:val="auto"/>
          <w:sz w:val="24"/>
          <w:szCs w:val="24"/>
          <w:lang w:val="en-US"/>
        </w:rPr>
        <w:t xml:space="preserve">of title and title-supporting documents, identifies beneficial owners, and identifies legal risks related to credit risks. </w:t>
      </w:r>
    </w:p>
    <w:p w:rsidR="00E67371" w:rsidRPr="00E27EED" w:rsidRDefault="00E67371" w:rsidP="001C68BB">
      <w:pPr>
        <w:pStyle w:val="a9"/>
        <w:numPr>
          <w:ilvl w:val="0"/>
          <w:numId w:val="13"/>
        </w:numPr>
        <w:spacing w:after="0" w:line="240" w:lineRule="auto"/>
        <w:jc w:val="both"/>
        <w:rPr>
          <w:rStyle w:val="s19"/>
          <w:color w:val="auto"/>
          <w:sz w:val="24"/>
          <w:szCs w:val="24"/>
          <w:lang w:val="en-US"/>
        </w:rPr>
      </w:pPr>
      <w:r w:rsidRPr="00E27EED">
        <w:rPr>
          <w:rStyle w:val="s19"/>
          <w:color w:val="auto"/>
          <w:sz w:val="24"/>
          <w:szCs w:val="24"/>
          <w:lang w:val="en-US"/>
        </w:rPr>
        <w:t>The Collateral Operations D</w:t>
      </w:r>
      <w:r w:rsidR="00792193">
        <w:rPr>
          <w:rStyle w:val="s19"/>
          <w:color w:val="auto"/>
          <w:sz w:val="24"/>
          <w:szCs w:val="24"/>
          <w:lang w:val="en-US"/>
        </w:rPr>
        <w:t xml:space="preserve">ivision </w:t>
      </w:r>
      <w:r w:rsidRPr="00E27EED">
        <w:rPr>
          <w:rStyle w:val="s19"/>
          <w:color w:val="auto"/>
          <w:sz w:val="24"/>
          <w:szCs w:val="24"/>
          <w:lang w:val="en-US"/>
        </w:rPr>
        <w:t xml:space="preserve">reviews the appraisal reports submitted by appraisal companies regarding the proposed or existing collateral asset(s). </w:t>
      </w:r>
    </w:p>
    <w:p w:rsidR="00E67371" w:rsidRPr="00E27EED" w:rsidRDefault="00E67371" w:rsidP="000B0C64">
      <w:pPr>
        <w:spacing w:after="0" w:line="240" w:lineRule="auto"/>
        <w:ind w:firstLine="709"/>
        <w:jc w:val="both"/>
        <w:rPr>
          <w:rStyle w:val="s19"/>
          <w:rFonts w:eastAsiaTheme="minorEastAsia"/>
          <w:color w:val="auto"/>
          <w:sz w:val="24"/>
          <w:szCs w:val="24"/>
          <w:lang w:val="en-US" w:eastAsia="ru-RU"/>
        </w:rPr>
      </w:pPr>
      <w:r w:rsidRPr="00E27EED">
        <w:rPr>
          <w:rStyle w:val="s19"/>
          <w:color w:val="auto"/>
          <w:sz w:val="24"/>
          <w:szCs w:val="24"/>
          <w:lang w:val="en-US"/>
        </w:rPr>
        <w:lastRenderedPageBreak/>
        <w:t xml:space="preserve">After receiving the submitted information, the business unit compiles a package of documents, including the </w:t>
      </w:r>
      <w:r w:rsidR="00792193">
        <w:rPr>
          <w:rStyle w:val="s19"/>
          <w:color w:val="auto"/>
          <w:sz w:val="24"/>
          <w:szCs w:val="24"/>
          <w:lang w:val="en-US"/>
        </w:rPr>
        <w:t>credit</w:t>
      </w:r>
      <w:r w:rsidRPr="00E27EED">
        <w:rPr>
          <w:rStyle w:val="s19"/>
          <w:color w:val="auto"/>
          <w:sz w:val="24"/>
          <w:szCs w:val="24"/>
          <w:lang w:val="en-US"/>
        </w:rPr>
        <w:t xml:space="preserve"> proposal and expert opinions from the Security Department, the Legal Department, and the Collateral Operations Division, and forwards it to </w:t>
      </w:r>
      <w:r w:rsidRPr="00E27EED">
        <w:rPr>
          <w:rStyle w:val="s19"/>
          <w:rFonts w:eastAsiaTheme="minorEastAsia"/>
          <w:color w:val="auto"/>
          <w:sz w:val="24"/>
          <w:szCs w:val="24"/>
          <w:lang w:val="en-US" w:eastAsia="ru-RU"/>
        </w:rPr>
        <w:t xml:space="preserve">the Corporate Business Credit Risk Division of the Risk Department. The Corporate Business Credit Risk Division of the Risk Department is the final unit in the second line of defense. </w:t>
      </w:r>
    </w:p>
    <w:p w:rsidR="00E67371" w:rsidRPr="00E27EED" w:rsidRDefault="00E67371" w:rsidP="000B0C64">
      <w:pPr>
        <w:spacing w:after="0" w:line="240" w:lineRule="auto"/>
        <w:ind w:firstLine="709"/>
        <w:jc w:val="both"/>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If necessary, the Corporate Business Credit Risk </w:t>
      </w:r>
      <w:r w:rsidR="00792193">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 xml:space="preserve"> of the Risk Department requests additional information. Based on the results of its analysis, the Corporate Business Credit Risk </w:t>
      </w:r>
      <w:r w:rsidR="00792193">
        <w:rPr>
          <w:rStyle w:val="s19"/>
          <w:rFonts w:eastAsiaTheme="minorEastAsia"/>
          <w:color w:val="auto"/>
          <w:sz w:val="24"/>
          <w:szCs w:val="24"/>
          <w:lang w:val="en-US" w:eastAsia="ru-RU"/>
        </w:rPr>
        <w:t>Division</w:t>
      </w:r>
      <w:r w:rsidRPr="00E27EED">
        <w:rPr>
          <w:rStyle w:val="s19"/>
          <w:rFonts w:eastAsiaTheme="minorEastAsia"/>
          <w:color w:val="auto"/>
          <w:sz w:val="24"/>
          <w:szCs w:val="24"/>
          <w:lang w:val="en-US" w:eastAsia="ru-RU"/>
        </w:rPr>
        <w:t xml:space="preserve"> of the Risk Department provides the business unit with its expert opinion. </w:t>
      </w:r>
    </w:p>
    <w:p w:rsidR="00E67371" w:rsidRPr="00E27EED" w:rsidRDefault="00E67371" w:rsidP="000B0C64">
      <w:pPr>
        <w:spacing w:after="0" w:line="240" w:lineRule="auto"/>
        <w:ind w:firstLine="709"/>
        <w:jc w:val="both"/>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The Bank monitors outstanding loans, with the primary objective of timely identifying credit risk factors, while periodically conducting </w:t>
      </w:r>
      <w:r w:rsidR="00D5215F">
        <w:rPr>
          <w:rStyle w:val="s19"/>
          <w:rFonts w:eastAsiaTheme="minorEastAsia"/>
          <w:color w:val="auto"/>
          <w:sz w:val="24"/>
          <w:szCs w:val="24"/>
          <w:lang w:val="en-US" w:eastAsia="ru-RU"/>
        </w:rPr>
        <w:t>due diligence</w:t>
      </w:r>
      <w:r w:rsidRPr="00E27EED">
        <w:rPr>
          <w:rStyle w:val="s19"/>
          <w:rFonts w:eastAsiaTheme="minorEastAsia"/>
          <w:color w:val="auto"/>
          <w:sz w:val="24"/>
          <w:szCs w:val="24"/>
          <w:lang w:val="en-US" w:eastAsia="ru-RU"/>
        </w:rPr>
        <w:t xml:space="preserve"> of the financial and economic condition of the </w:t>
      </w:r>
      <w:r w:rsidR="00E27EED">
        <w:rPr>
          <w:rStyle w:val="s19"/>
          <w:rFonts w:eastAsiaTheme="minorEastAsia"/>
          <w:color w:val="auto"/>
          <w:sz w:val="24"/>
          <w:szCs w:val="24"/>
          <w:lang w:val="en-US" w:eastAsia="ru-RU"/>
        </w:rPr>
        <w:t>customer</w:t>
      </w:r>
      <w:r w:rsidRPr="00E27EED">
        <w:rPr>
          <w:rStyle w:val="s19"/>
          <w:rFonts w:eastAsiaTheme="minorEastAsia"/>
          <w:color w:val="auto"/>
          <w:sz w:val="24"/>
          <w:szCs w:val="24"/>
          <w:lang w:val="en-US" w:eastAsia="ru-RU"/>
        </w:rPr>
        <w:t xml:space="preserve"> and the group of related parties, the financing project, legal and collateral risks, and security-related checks. If such risks are identified, the Bank assesses them and, if necessary, takes measures to address them. </w:t>
      </w:r>
    </w:p>
    <w:p w:rsidR="00E67371" w:rsidRPr="00E27EED" w:rsidRDefault="00E67371" w:rsidP="000B0C64">
      <w:pPr>
        <w:spacing w:after="0" w:line="240" w:lineRule="auto"/>
        <w:ind w:firstLine="709"/>
        <w:jc w:val="both"/>
        <w:rPr>
          <w:rStyle w:val="s19"/>
          <w:rFonts w:eastAsiaTheme="minorEastAsia"/>
          <w:color w:val="auto"/>
          <w:sz w:val="24"/>
          <w:szCs w:val="24"/>
          <w:lang w:val="en-US" w:eastAsia="ru-RU"/>
        </w:rPr>
      </w:pPr>
      <w:r w:rsidRPr="00E27EED">
        <w:rPr>
          <w:rStyle w:val="s19"/>
          <w:rFonts w:eastAsiaTheme="minorEastAsia"/>
          <w:color w:val="auto"/>
          <w:sz w:val="24"/>
          <w:szCs w:val="24"/>
          <w:lang w:val="en-US" w:eastAsia="ru-RU"/>
        </w:rPr>
        <w:t xml:space="preserve">Based on the results, the business unit compiles a package of documents consisting of its own expert opinion and the expert opinions received from second-line units, and submits it to the Bank’s Authorized Body, which decides whether to grant or continue financing for the </w:t>
      </w:r>
      <w:r w:rsidR="00E27EED">
        <w:rPr>
          <w:rStyle w:val="s19"/>
          <w:rFonts w:eastAsiaTheme="minorEastAsia"/>
          <w:color w:val="auto"/>
          <w:sz w:val="24"/>
          <w:szCs w:val="24"/>
          <w:lang w:val="en-US" w:eastAsia="ru-RU"/>
        </w:rPr>
        <w:t>customer</w:t>
      </w:r>
      <w:r w:rsidRPr="00E27EED">
        <w:rPr>
          <w:rStyle w:val="s19"/>
          <w:rFonts w:eastAsiaTheme="minorEastAsia"/>
          <w:color w:val="auto"/>
          <w:sz w:val="24"/>
          <w:szCs w:val="24"/>
          <w:lang w:val="en-US" w:eastAsia="ru-RU"/>
        </w:rPr>
        <w:t xml:space="preserve">. </w:t>
      </w:r>
    </w:p>
    <w:p w:rsidR="004555C1" w:rsidRPr="00E27EED" w:rsidRDefault="004555C1" w:rsidP="000B0C64">
      <w:pPr>
        <w:spacing w:after="0" w:line="240" w:lineRule="auto"/>
        <w:ind w:firstLine="709"/>
        <w:jc w:val="both"/>
        <w:rPr>
          <w:rStyle w:val="s19"/>
          <w:color w:val="auto"/>
          <w:sz w:val="24"/>
          <w:szCs w:val="24"/>
          <w:lang w:val="en-US"/>
        </w:rPr>
      </w:pPr>
      <w:r w:rsidRPr="00E27EED">
        <w:rPr>
          <w:rStyle w:val="s19"/>
          <w:rFonts w:eastAsiaTheme="minorEastAsia"/>
          <w:color w:val="auto"/>
          <w:sz w:val="24"/>
          <w:szCs w:val="24"/>
          <w:lang w:val="en-US" w:eastAsia="ru-RU"/>
        </w:rPr>
        <w:t xml:space="preserve">As part of the retail lending process, credit risk assessment is primarily conducted automatically by aggregating data on the customer, their creditworthiness, and </w:t>
      </w:r>
      <w:r w:rsidR="00D5215F">
        <w:rPr>
          <w:rStyle w:val="s19"/>
          <w:rFonts w:eastAsiaTheme="minorEastAsia"/>
          <w:color w:val="auto"/>
          <w:sz w:val="24"/>
          <w:szCs w:val="24"/>
          <w:lang w:val="en-US" w:eastAsia="ru-RU"/>
        </w:rPr>
        <w:t xml:space="preserve">solvency </w:t>
      </w:r>
      <w:r w:rsidRPr="00E27EED">
        <w:rPr>
          <w:rStyle w:val="s19"/>
          <w:rFonts w:eastAsiaTheme="minorEastAsia"/>
          <w:color w:val="auto"/>
          <w:sz w:val="24"/>
          <w:szCs w:val="24"/>
          <w:lang w:val="en-US" w:eastAsia="ru-RU"/>
        </w:rPr>
        <w:t>from internal and external data sources</w:t>
      </w:r>
      <w:r w:rsidR="00604D6F" w:rsidRPr="00E27EED">
        <w:rPr>
          <w:rStyle w:val="s19"/>
          <w:rFonts w:eastAsiaTheme="minorEastAsia"/>
          <w:color w:val="auto"/>
          <w:sz w:val="24"/>
          <w:szCs w:val="24"/>
          <w:lang w:val="en-US" w:eastAsia="ru-RU"/>
        </w:rPr>
        <w:t>, including the use of scoring systems for credit assessment and decision-making. The first- and second-line defense units provide support and oversight for each stage of the automated application process within the scope of their authority and areas of responsibility.</w:t>
      </w:r>
    </w:p>
    <w:p w:rsidR="00E67371" w:rsidRPr="00E27EED" w:rsidRDefault="00E67371" w:rsidP="000B0C64">
      <w:pPr>
        <w:pStyle w:val="pj"/>
        <w:rPr>
          <w:rStyle w:val="s0"/>
          <w:b/>
          <w:lang w:val="en-US"/>
        </w:rPr>
      </w:pPr>
    </w:p>
    <w:p w:rsidR="0086569F" w:rsidRPr="00E27EED" w:rsidRDefault="0086569F" w:rsidP="000B0C64">
      <w:pPr>
        <w:pStyle w:val="pj"/>
        <w:rPr>
          <w:rStyle w:val="s0"/>
          <w:b/>
          <w:lang w:val="en-US"/>
        </w:rPr>
      </w:pPr>
    </w:p>
    <w:p w:rsidR="0086569F" w:rsidRPr="00E27EED" w:rsidRDefault="0086569F" w:rsidP="000B0C64">
      <w:pPr>
        <w:pStyle w:val="pj"/>
        <w:rPr>
          <w:rStyle w:val="s0"/>
          <w:b/>
          <w:lang w:val="en-US"/>
        </w:rPr>
      </w:pPr>
    </w:p>
    <w:p w:rsidR="0086569F" w:rsidRPr="00E27EED" w:rsidRDefault="0086569F" w:rsidP="000B0C64">
      <w:pPr>
        <w:pStyle w:val="pj"/>
        <w:rPr>
          <w:rStyle w:val="s0"/>
          <w:b/>
          <w:lang w:val="en-US"/>
        </w:rPr>
      </w:pPr>
    </w:p>
    <w:p w:rsidR="0086569F" w:rsidRPr="00E27EED" w:rsidRDefault="0086569F" w:rsidP="000B0C64">
      <w:pPr>
        <w:pStyle w:val="pj"/>
        <w:rPr>
          <w:rStyle w:val="s0"/>
          <w:b/>
          <w:lang w:val="en-US"/>
        </w:rPr>
      </w:pPr>
    </w:p>
    <w:p w:rsidR="0086569F" w:rsidRPr="00E27EED" w:rsidRDefault="0086569F" w:rsidP="000B0C64">
      <w:pPr>
        <w:pStyle w:val="pj"/>
        <w:rPr>
          <w:rStyle w:val="s0"/>
          <w:b/>
          <w:lang w:val="en-US"/>
        </w:rPr>
      </w:pPr>
    </w:p>
    <w:p w:rsidR="0086569F" w:rsidRPr="00AF13AC" w:rsidRDefault="0086569F"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467B31" w:rsidRPr="00AF13AC" w:rsidRDefault="00467B31" w:rsidP="000B0C64">
      <w:pPr>
        <w:pStyle w:val="pj"/>
        <w:rPr>
          <w:rStyle w:val="s0"/>
          <w:b/>
          <w:lang w:val="en-US"/>
        </w:rPr>
      </w:pPr>
    </w:p>
    <w:p w:rsidR="0086569F" w:rsidRPr="00E27EED" w:rsidRDefault="0086569F" w:rsidP="000B0C64">
      <w:pPr>
        <w:pStyle w:val="pj"/>
        <w:rPr>
          <w:rStyle w:val="s0"/>
          <w:b/>
          <w:lang w:val="en-US"/>
        </w:rPr>
      </w:pPr>
    </w:p>
    <w:p w:rsidR="00F01143" w:rsidRPr="00E27EED" w:rsidRDefault="00F01143" w:rsidP="000B0C64">
      <w:pPr>
        <w:pStyle w:val="pc"/>
        <w:rPr>
          <w:rStyle w:val="s19"/>
          <w:color w:val="auto"/>
          <w:lang w:val="en-US"/>
        </w:rPr>
      </w:pPr>
    </w:p>
    <w:p w:rsidR="00F01143" w:rsidRPr="00E27EED" w:rsidRDefault="00F01143" w:rsidP="000B0C64">
      <w:pPr>
        <w:pStyle w:val="pc"/>
        <w:rPr>
          <w:rStyle w:val="s19"/>
          <w:color w:val="auto"/>
          <w:lang w:val="en-US"/>
        </w:rPr>
      </w:pPr>
    </w:p>
    <w:p w:rsidR="00DF4272" w:rsidRPr="00E27EED" w:rsidRDefault="00DF4272" w:rsidP="000B0C64">
      <w:pPr>
        <w:pStyle w:val="pc"/>
        <w:rPr>
          <w:color w:val="auto"/>
          <w:lang w:val="en-US"/>
        </w:rPr>
      </w:pPr>
      <w:r w:rsidRPr="00E27EED">
        <w:rPr>
          <w:rStyle w:val="s19"/>
          <w:color w:val="auto"/>
          <w:lang w:val="en-US"/>
        </w:rPr>
        <w:t>Information on the bank’s assets exposed to credit risk</w:t>
      </w:r>
    </w:p>
    <w:p w:rsidR="00DF4272" w:rsidRPr="00E27EED" w:rsidRDefault="00DF4272" w:rsidP="000B0C64">
      <w:pPr>
        <w:pStyle w:val="pr"/>
        <w:rPr>
          <w:lang w:val="en-US"/>
        </w:rPr>
      </w:pPr>
      <w:r w:rsidRPr="00E27EED">
        <w:rPr>
          <w:rStyle w:val="s19"/>
          <w:lang w:val="en-US"/>
        </w:rPr>
        <w:t xml:space="preserve"> </w:t>
      </w:r>
    </w:p>
    <w:p w:rsidR="00DF4272" w:rsidRPr="00E27EED" w:rsidRDefault="00DF4272" w:rsidP="000B0C64">
      <w:pPr>
        <w:pStyle w:val="pr"/>
        <w:rPr>
          <w:color w:val="auto"/>
          <w:lang w:val="en-US"/>
        </w:rPr>
      </w:pPr>
      <w:r w:rsidRPr="00E27EED">
        <w:rPr>
          <w:rStyle w:val="s19"/>
          <w:color w:val="auto"/>
          <w:lang w:val="en-US"/>
        </w:rPr>
        <w:t>(</w:t>
      </w:r>
      <w:r w:rsidR="00D5215F">
        <w:rPr>
          <w:rStyle w:val="s19"/>
          <w:color w:val="auto"/>
          <w:lang w:val="en-US"/>
        </w:rPr>
        <w:t>KZT</w:t>
      </w:r>
      <w:r w:rsidR="00D5215F" w:rsidRPr="00E27EED">
        <w:rPr>
          <w:rStyle w:val="s19"/>
          <w:color w:val="auto"/>
          <w:lang w:val="en-US"/>
        </w:rPr>
        <w:t xml:space="preserve"> </w:t>
      </w:r>
      <w:r w:rsidRPr="00E27EED">
        <w:rPr>
          <w:rStyle w:val="s19"/>
          <w:color w:val="auto"/>
          <w:lang w:val="en-US"/>
        </w:rPr>
        <w:t>thousands)</w:t>
      </w:r>
    </w:p>
    <w:tbl>
      <w:tblPr>
        <w:tblW w:w="5000" w:type="pct"/>
        <w:jc w:val="center"/>
        <w:tblCellMar>
          <w:left w:w="0" w:type="dxa"/>
          <w:right w:w="0" w:type="dxa"/>
        </w:tblCellMar>
        <w:tblLook w:val="04A0" w:firstRow="1" w:lastRow="0" w:firstColumn="1" w:lastColumn="0" w:noHBand="0" w:noVBand="1"/>
      </w:tblPr>
      <w:tblGrid>
        <w:gridCol w:w="511"/>
        <w:gridCol w:w="1206"/>
        <w:gridCol w:w="1251"/>
        <w:gridCol w:w="1307"/>
        <w:gridCol w:w="1251"/>
        <w:gridCol w:w="1307"/>
        <w:gridCol w:w="1251"/>
        <w:gridCol w:w="1251"/>
      </w:tblGrid>
      <w:tr w:rsidR="00DF4272" w:rsidRPr="00AF13AC" w:rsidTr="00D5215F">
        <w:trPr>
          <w:jc w:val="center"/>
        </w:trPr>
        <w:tc>
          <w:tcPr>
            <w:tcW w:w="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No.</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Description</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Claims in default</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 xml:space="preserve">Claims with overdue principal and/or accrued interest for more than 90 </w:t>
            </w:r>
            <w:r w:rsidRPr="00E27EED">
              <w:rPr>
                <w:rStyle w:val="s19"/>
                <w:color w:val="auto"/>
                <w:sz w:val="20"/>
                <w:szCs w:val="20"/>
                <w:lang w:val="en-US"/>
              </w:rPr>
              <w:lastRenderedPageBreak/>
              <w:t>(ninety) calendar days</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lastRenderedPageBreak/>
              <w:t>Claims not in default</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 xml:space="preserve">Claims with overdue principal and/or accrued interest of no more than 90 </w:t>
            </w:r>
            <w:r w:rsidRPr="00E27EED">
              <w:rPr>
                <w:rStyle w:val="s19"/>
                <w:color w:val="auto"/>
                <w:sz w:val="20"/>
                <w:szCs w:val="20"/>
                <w:lang w:val="en-US"/>
              </w:rPr>
              <w:lastRenderedPageBreak/>
              <w:t>(ninety) calendar days</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lastRenderedPageBreak/>
              <w:t>Provisions (reserves)</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Net book value of assets</w:t>
            </w:r>
          </w:p>
        </w:tc>
      </w:tr>
      <w:tr w:rsidR="00DF4272" w:rsidRPr="00E27EED" w:rsidTr="00D5215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1</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2</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4</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7</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8</w:t>
            </w:r>
          </w:p>
        </w:tc>
      </w:tr>
      <w:tr w:rsidR="00AF13AC" w:rsidRPr="00E27EED" w:rsidTr="00D5215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1</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E27EED">
              <w:rPr>
                <w:rStyle w:val="s19"/>
                <w:color w:val="auto"/>
                <w:sz w:val="20"/>
                <w:szCs w:val="20"/>
                <w:lang w:val="en-US"/>
              </w:rPr>
              <w:t>Loans</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8 348 476,94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5 853 384,36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38 700 192,44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2 731 428,02</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8 012 679,44</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39 035 989,95</w:t>
            </w:r>
          </w:p>
        </w:tc>
      </w:tr>
      <w:tr w:rsidR="00AF13AC" w:rsidRPr="00E27EED" w:rsidTr="00D5215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2</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E27EED">
              <w:rPr>
                <w:rStyle w:val="s19"/>
                <w:color w:val="auto"/>
                <w:sz w:val="20"/>
                <w:szCs w:val="20"/>
                <w:lang w:val="en-US"/>
              </w:rPr>
              <w:t>Debt securities</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0,00</w:t>
            </w:r>
          </w:p>
        </w:tc>
      </w:tr>
      <w:tr w:rsidR="00AF13AC" w:rsidRPr="00E27EED" w:rsidTr="00D5215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3</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E27EED">
              <w:rPr>
                <w:rStyle w:val="s19"/>
                <w:color w:val="auto"/>
                <w:sz w:val="20"/>
                <w:szCs w:val="20"/>
                <w:lang w:val="en-US"/>
              </w:rPr>
              <w:t>Off-balance-sheet liabilities</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1 450 508,01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157 430,01</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1 293 078,00</w:t>
            </w:r>
          </w:p>
        </w:tc>
      </w:tr>
      <w:tr w:rsidR="00AF13AC" w:rsidRPr="00E27EED" w:rsidTr="00D5215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4</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E27EED">
              <w:rPr>
                <w:rStyle w:val="s19"/>
                <w:color w:val="auto"/>
                <w:sz w:val="20"/>
                <w:szCs w:val="20"/>
                <w:lang w:val="en-US"/>
              </w:rPr>
              <w:t>Total:</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8 348 476,94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5 853 384,36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40 150 700,45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2 731 428,02</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8 170 109,45</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512C0E" w:rsidRDefault="00AF13AC" w:rsidP="00AF13AC">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40 329 067,95</w:t>
            </w:r>
          </w:p>
        </w:tc>
      </w:tr>
    </w:tbl>
    <w:p w:rsidR="00DF4272" w:rsidRPr="00E27EED" w:rsidRDefault="00DF4272" w:rsidP="000B0C64">
      <w:pPr>
        <w:ind w:firstLine="426"/>
        <w:jc w:val="both"/>
        <w:rPr>
          <w:lang w:val="en-US"/>
        </w:rPr>
      </w:pPr>
    </w:p>
    <w:p w:rsidR="00DF4272" w:rsidRPr="00E27EED" w:rsidRDefault="00DF4272" w:rsidP="000B0C64">
      <w:pPr>
        <w:pStyle w:val="pc"/>
        <w:rPr>
          <w:color w:val="auto"/>
          <w:lang w:val="en-US"/>
        </w:rPr>
      </w:pPr>
      <w:r w:rsidRPr="00E27EED">
        <w:rPr>
          <w:rStyle w:val="s19"/>
          <w:color w:val="auto"/>
          <w:lang w:val="en-US"/>
        </w:rPr>
        <w:t>Credit Risk Information</w:t>
      </w:r>
    </w:p>
    <w:p w:rsidR="00DF4272" w:rsidRPr="00E27EED" w:rsidRDefault="00DF4272" w:rsidP="000B0C64">
      <w:pPr>
        <w:pStyle w:val="pr"/>
        <w:rPr>
          <w:color w:val="auto"/>
          <w:sz w:val="20"/>
          <w:szCs w:val="20"/>
          <w:lang w:val="en-US"/>
        </w:rPr>
      </w:pPr>
      <w:r w:rsidRPr="00E27EED">
        <w:rPr>
          <w:rStyle w:val="s19"/>
          <w:color w:val="auto"/>
          <w:sz w:val="20"/>
          <w:szCs w:val="20"/>
          <w:lang w:val="en-US"/>
        </w:rPr>
        <w:t>(</w:t>
      </w:r>
      <w:r w:rsidR="00D5215F">
        <w:rPr>
          <w:rStyle w:val="s19"/>
          <w:color w:val="auto"/>
          <w:sz w:val="20"/>
          <w:szCs w:val="20"/>
          <w:lang w:val="en-US"/>
        </w:rPr>
        <w:t>KZT</w:t>
      </w:r>
      <w:r w:rsidR="00D5215F" w:rsidRPr="00E27EED">
        <w:rPr>
          <w:rStyle w:val="s19"/>
          <w:color w:val="auto"/>
          <w:sz w:val="20"/>
          <w:szCs w:val="20"/>
          <w:lang w:val="en-US"/>
        </w:rPr>
        <w:t xml:space="preserve"> </w:t>
      </w:r>
      <w:r w:rsidRPr="00E27EED">
        <w:rPr>
          <w:rStyle w:val="s19"/>
          <w:color w:val="auto"/>
          <w:sz w:val="20"/>
          <w:szCs w:val="20"/>
          <w:lang w:val="en-US"/>
        </w:rPr>
        <w:t>thousands)</w:t>
      </w:r>
    </w:p>
    <w:tbl>
      <w:tblPr>
        <w:tblW w:w="5205" w:type="pct"/>
        <w:jc w:val="center"/>
        <w:tblLayout w:type="fixed"/>
        <w:tblCellMar>
          <w:left w:w="0" w:type="dxa"/>
          <w:right w:w="0" w:type="dxa"/>
        </w:tblCellMar>
        <w:tblLook w:val="04A0" w:firstRow="1" w:lastRow="0" w:firstColumn="1" w:lastColumn="0" w:noHBand="0" w:noVBand="1"/>
      </w:tblPr>
      <w:tblGrid>
        <w:gridCol w:w="404"/>
        <w:gridCol w:w="1603"/>
        <w:gridCol w:w="1244"/>
        <w:gridCol w:w="1559"/>
        <w:gridCol w:w="1559"/>
        <w:gridCol w:w="1701"/>
        <w:gridCol w:w="1648"/>
      </w:tblGrid>
      <w:tr w:rsidR="00DF4272" w:rsidRPr="00AF13AC" w:rsidTr="00A2266F">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No.</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Description</w:t>
            </w:r>
          </w:p>
        </w:tc>
        <w:tc>
          <w:tcPr>
            <w:tcW w:w="6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Total</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Unsecured Claims</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Claims secured by collateral</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Claims secured by guarantees</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Claims secured by derivative financial instruments</w:t>
            </w:r>
          </w:p>
        </w:tc>
      </w:tr>
      <w:tr w:rsidR="00DF4272" w:rsidRPr="00E27EED"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2</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3</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4</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5</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6</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27EED" w:rsidRDefault="00DF4272" w:rsidP="000B0C64">
            <w:pPr>
              <w:pStyle w:val="pc"/>
              <w:rPr>
                <w:color w:val="auto"/>
                <w:sz w:val="20"/>
                <w:szCs w:val="20"/>
                <w:lang w:val="en-US"/>
              </w:rPr>
            </w:pPr>
            <w:r w:rsidRPr="00E27EED">
              <w:rPr>
                <w:rStyle w:val="s19"/>
                <w:color w:val="auto"/>
                <w:sz w:val="20"/>
                <w:szCs w:val="20"/>
                <w:lang w:val="en-US"/>
              </w:rPr>
              <w:t>7</w:t>
            </w:r>
          </w:p>
        </w:tc>
      </w:tr>
      <w:tr w:rsidR="00AF13AC" w:rsidRPr="00E27EED"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467B31">
              <w:rPr>
                <w:rStyle w:val="s19"/>
                <w:color w:val="auto"/>
              </w:rPr>
              <w:t>Loans</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48 499 177,39</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36 495 863,38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6 980 572,42</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5 022 741,59</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r>
      <w:tr w:rsidR="00AF13AC" w:rsidRPr="00E27EED"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E27EED">
              <w:rPr>
                <w:rStyle w:val="s19"/>
                <w:color w:val="auto"/>
                <w:sz w:val="20"/>
                <w:szCs w:val="20"/>
                <w:lang w:val="en-US"/>
              </w:rPr>
              <w:t>Debt securities</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0,00</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r>
      <w:tr w:rsidR="00AF13AC" w:rsidRPr="00E27EED"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ji"/>
              <w:rPr>
                <w:color w:val="auto"/>
                <w:sz w:val="20"/>
                <w:szCs w:val="20"/>
                <w:lang w:val="en-US"/>
              </w:rPr>
            </w:pPr>
            <w:r w:rsidRPr="00E27EED">
              <w:rPr>
                <w:rStyle w:val="s19"/>
                <w:color w:val="auto"/>
                <w:sz w:val="20"/>
                <w:szCs w:val="20"/>
                <w:lang w:val="en-US"/>
              </w:rPr>
              <w:t>Total, of which:</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48 499 177,39</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36 495 863,38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6 980 572,42</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5 022 741,59</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0,00</w:t>
            </w:r>
          </w:p>
        </w:tc>
      </w:tr>
      <w:tr w:rsidR="00AF13AC" w:rsidRPr="00E27EED"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13AC" w:rsidRPr="00E27EED" w:rsidRDefault="00AF13AC" w:rsidP="00AF13AC">
            <w:pPr>
              <w:pStyle w:val="pc"/>
              <w:rPr>
                <w:color w:val="auto"/>
                <w:sz w:val="20"/>
                <w:szCs w:val="20"/>
                <w:lang w:val="en-US"/>
              </w:rPr>
            </w:pPr>
            <w:r w:rsidRPr="00E27EED">
              <w:rPr>
                <w:rStyle w:val="s19"/>
                <w:color w:val="auto"/>
                <w:sz w:val="20"/>
                <w:szCs w:val="20"/>
                <w:lang w:val="en-US"/>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F13AC" w:rsidRPr="00D5215F" w:rsidRDefault="00AF13AC" w:rsidP="00AF13AC">
            <w:pPr>
              <w:pStyle w:val="pji"/>
              <w:rPr>
                <w:rStyle w:val="s19"/>
                <w:color w:val="auto"/>
              </w:rPr>
            </w:pPr>
            <w:r w:rsidRPr="00D5215F">
              <w:rPr>
                <w:rStyle w:val="s19"/>
                <w:color w:val="auto"/>
                <w:sz w:val="20"/>
                <w:szCs w:val="20"/>
                <w:lang w:val="en-US"/>
              </w:rPr>
              <w:t>Defaulted exposures</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7 992 325,04</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6 194 218,95</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1 009 063,14</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789 042,95</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3AC" w:rsidRPr="00512C0E" w:rsidRDefault="00AF13AC" w:rsidP="00AF13AC">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r>
    </w:tbl>
    <w:p w:rsidR="00DF4272" w:rsidRPr="00E27EED" w:rsidRDefault="00DF4272" w:rsidP="000B0C64">
      <w:pPr>
        <w:spacing w:after="0" w:line="240" w:lineRule="auto"/>
        <w:jc w:val="both"/>
        <w:rPr>
          <w:rStyle w:val="s19"/>
          <w:b/>
          <w:color w:val="auto"/>
          <w:sz w:val="24"/>
          <w:szCs w:val="24"/>
          <w:lang w:val="en-US"/>
        </w:rPr>
      </w:pPr>
    </w:p>
    <w:p w:rsidR="00D9290B" w:rsidRPr="00E27EED" w:rsidRDefault="00D9290B" w:rsidP="000B0C64">
      <w:pPr>
        <w:spacing w:after="0" w:line="240" w:lineRule="auto"/>
        <w:jc w:val="both"/>
        <w:rPr>
          <w:rStyle w:val="s19"/>
          <w:color w:val="auto"/>
          <w:sz w:val="24"/>
          <w:szCs w:val="24"/>
          <w:lang w:val="en-US"/>
        </w:rPr>
      </w:pPr>
    </w:p>
    <w:p w:rsidR="003D0BA9" w:rsidRPr="00E27EED" w:rsidRDefault="003D0BA9" w:rsidP="000B0C64">
      <w:pPr>
        <w:pStyle w:val="pj"/>
        <w:ind w:left="1120" w:firstLine="0"/>
        <w:rPr>
          <w:color w:val="auto"/>
          <w:lang w:val="en-US"/>
        </w:rPr>
      </w:pPr>
      <w:bookmarkStart w:id="11" w:name="_GoBack"/>
      <w:bookmarkEnd w:id="11"/>
    </w:p>
    <w:p w:rsidR="003D0BA9" w:rsidRPr="00E27EED" w:rsidRDefault="003D0BA9" w:rsidP="000B0C64">
      <w:pPr>
        <w:pStyle w:val="pj"/>
        <w:ind w:left="1120" w:firstLine="0"/>
        <w:rPr>
          <w:color w:val="auto"/>
          <w:lang w:val="en-US"/>
        </w:rPr>
      </w:pPr>
    </w:p>
    <w:sectPr w:rsidR="003D0BA9" w:rsidRPr="00E27E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85B" w:rsidRDefault="00AB385B" w:rsidP="00C23FD3">
      <w:pPr>
        <w:spacing w:after="0" w:line="240" w:lineRule="auto"/>
      </w:pPr>
      <w:r>
        <w:separator/>
      </w:r>
    </w:p>
  </w:endnote>
  <w:endnote w:type="continuationSeparator" w:id="0">
    <w:p w:rsidR="00AB385B" w:rsidRDefault="00AB385B" w:rsidP="00C2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85B" w:rsidRDefault="00AB385B" w:rsidP="00C23FD3">
      <w:pPr>
        <w:spacing w:after="0" w:line="240" w:lineRule="auto"/>
      </w:pPr>
      <w:r>
        <w:separator/>
      </w:r>
    </w:p>
  </w:footnote>
  <w:footnote w:type="continuationSeparator" w:id="0">
    <w:p w:rsidR="00AB385B" w:rsidRDefault="00AB385B" w:rsidP="00C23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659"/>
    <w:multiLevelType w:val="hybridMultilevel"/>
    <w:tmpl w:val="20A6DDCA"/>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65AFD"/>
    <w:multiLevelType w:val="hybridMultilevel"/>
    <w:tmpl w:val="B40A916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E45D1C"/>
    <w:multiLevelType w:val="multilevel"/>
    <w:tmpl w:val="9A342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59484F"/>
    <w:multiLevelType w:val="hybridMultilevel"/>
    <w:tmpl w:val="6C743016"/>
    <w:lvl w:ilvl="0" w:tplc="BD18C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35D7B87"/>
    <w:multiLevelType w:val="hybridMultilevel"/>
    <w:tmpl w:val="54966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06C82"/>
    <w:multiLevelType w:val="hybridMultilevel"/>
    <w:tmpl w:val="D01A33D0"/>
    <w:lvl w:ilvl="0" w:tplc="04190011">
      <w:start w:val="1"/>
      <w:numFmt w:val="decimal"/>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E764A35"/>
    <w:multiLevelType w:val="hybridMultilevel"/>
    <w:tmpl w:val="195C6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3742E"/>
    <w:multiLevelType w:val="hybridMultilevel"/>
    <w:tmpl w:val="994C8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13745"/>
    <w:multiLevelType w:val="hybridMultilevel"/>
    <w:tmpl w:val="056C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3C056D"/>
    <w:multiLevelType w:val="hybridMultilevel"/>
    <w:tmpl w:val="DC66D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0235F7"/>
    <w:multiLevelType w:val="hybridMultilevel"/>
    <w:tmpl w:val="E3804902"/>
    <w:lvl w:ilvl="0" w:tplc="8EE4296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B157D"/>
    <w:multiLevelType w:val="hybridMultilevel"/>
    <w:tmpl w:val="3D5C4E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7337D1"/>
    <w:multiLevelType w:val="hybridMultilevel"/>
    <w:tmpl w:val="C8D2B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31A30"/>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449A13EA"/>
    <w:multiLevelType w:val="hybridMultilevel"/>
    <w:tmpl w:val="7B920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4E55546"/>
    <w:multiLevelType w:val="multilevel"/>
    <w:tmpl w:val="61F2F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CA37C0"/>
    <w:multiLevelType w:val="hybridMultilevel"/>
    <w:tmpl w:val="7B5AB7AC"/>
    <w:lvl w:ilvl="0" w:tplc="AECEBFB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3DB4E82"/>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65F4D18"/>
    <w:multiLevelType w:val="multilevel"/>
    <w:tmpl w:val="8FECF176"/>
    <w:lvl w:ilvl="0">
      <w:start w:val="1"/>
      <w:numFmt w:val="decimal"/>
      <w:pStyle w:val="a"/>
      <w:lvlText w:val="%1."/>
      <w:lvlJc w:val="left"/>
      <w:pPr>
        <w:tabs>
          <w:tab w:val="left" w:pos="1699"/>
        </w:tabs>
        <w:ind w:left="1699" w:hanging="564"/>
      </w:pPr>
      <w:rPr>
        <w:b/>
        <w:i w:val="0"/>
        <w:spacing w:val="0"/>
        <w:sz w:val="28"/>
      </w:rPr>
    </w:lvl>
    <w:lvl w:ilvl="1">
      <w:start w:val="1"/>
      <w:numFmt w:val="decimal"/>
      <w:pStyle w:val="2"/>
      <w:lvlText w:val="%1.%2."/>
      <w:lvlJc w:val="left"/>
      <w:pPr>
        <w:tabs>
          <w:tab w:val="left" w:pos="848"/>
        </w:tabs>
        <w:ind w:left="848" w:hanging="564"/>
      </w:pPr>
      <w:rPr>
        <w:color w:val="000000"/>
      </w:rPr>
    </w:lvl>
    <w:lvl w:ilvl="2">
      <w:start w:val="1"/>
      <w:numFmt w:val="decimal"/>
      <w:pStyle w:val="3"/>
      <w:lvlText w:val="%1.%2.%3."/>
      <w:lvlJc w:val="left"/>
      <w:pPr>
        <w:tabs>
          <w:tab w:val="left" w:pos="8877"/>
        </w:tabs>
        <w:ind w:left="8364" w:hanging="567"/>
      </w:pPr>
      <w:rPr>
        <w:b w:val="0"/>
      </w:rPr>
    </w:lvl>
    <w:lvl w:ilvl="3">
      <w:start w:val="1"/>
      <w:numFmt w:val="bullet"/>
      <w:pStyle w:val="4"/>
      <w:lvlText w:val=""/>
      <w:lvlJc w:val="left"/>
      <w:pPr>
        <w:tabs>
          <w:tab w:val="left" w:pos="1701"/>
        </w:tabs>
        <w:ind w:left="1701" w:hanging="425"/>
      </w:pPr>
      <w:rPr>
        <w:rFonts w:ascii="Symbol" w:hAnsi="Symbol"/>
        <w:color w:val="000000"/>
      </w:r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9" w15:restartNumberingAfterBreak="0">
    <w:nsid w:val="56EC51AD"/>
    <w:multiLevelType w:val="hybridMultilevel"/>
    <w:tmpl w:val="90E671F4"/>
    <w:lvl w:ilvl="0" w:tplc="AEA45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7551C5F"/>
    <w:multiLevelType w:val="hybridMultilevel"/>
    <w:tmpl w:val="337A551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E109C4"/>
    <w:multiLevelType w:val="multilevel"/>
    <w:tmpl w:val="B6A43F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E940CEA"/>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5EC4623E"/>
    <w:multiLevelType w:val="hybridMultilevel"/>
    <w:tmpl w:val="30D82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3760A"/>
    <w:multiLevelType w:val="hybridMultilevel"/>
    <w:tmpl w:val="835CBFE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065010"/>
    <w:multiLevelType w:val="hybridMultilevel"/>
    <w:tmpl w:val="90E671F4"/>
    <w:lvl w:ilvl="0" w:tplc="AEA45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9DC5C97"/>
    <w:multiLevelType w:val="multilevel"/>
    <w:tmpl w:val="BA246602"/>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BD0510A"/>
    <w:multiLevelType w:val="multilevel"/>
    <w:tmpl w:val="65E6B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46769B"/>
    <w:multiLevelType w:val="hybridMultilevel"/>
    <w:tmpl w:val="C0004AD8"/>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9" w15:restartNumberingAfterBreak="0">
    <w:nsid w:val="750760D0"/>
    <w:multiLevelType w:val="multilevel"/>
    <w:tmpl w:val="8FA8AA1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7764495"/>
    <w:multiLevelType w:val="hybridMultilevel"/>
    <w:tmpl w:val="E73A2F56"/>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3F66A8"/>
    <w:multiLevelType w:val="hybridMultilevel"/>
    <w:tmpl w:val="C0004AD8"/>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2" w15:restartNumberingAfterBreak="0">
    <w:nsid w:val="785C33A9"/>
    <w:multiLevelType w:val="hybridMultilevel"/>
    <w:tmpl w:val="2E8C1EE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0"/>
  </w:num>
  <w:num w:numId="2">
    <w:abstractNumId w:val="5"/>
  </w:num>
  <w:num w:numId="3">
    <w:abstractNumId w:val="22"/>
  </w:num>
  <w:num w:numId="4">
    <w:abstractNumId w:val="17"/>
  </w:num>
  <w:num w:numId="5">
    <w:abstractNumId w:val="13"/>
  </w:num>
  <w:num w:numId="6">
    <w:abstractNumId w:val="16"/>
  </w:num>
  <w:num w:numId="7">
    <w:abstractNumId w:val="8"/>
  </w:num>
  <w:num w:numId="8">
    <w:abstractNumId w:val="25"/>
  </w:num>
  <w:num w:numId="9">
    <w:abstractNumId w:val="11"/>
  </w:num>
  <w:num w:numId="10">
    <w:abstractNumId w:val="4"/>
  </w:num>
  <w:num w:numId="11">
    <w:abstractNumId w:val="6"/>
  </w:num>
  <w:num w:numId="12">
    <w:abstractNumId w:val="12"/>
  </w:num>
  <w:num w:numId="13">
    <w:abstractNumId w:val="23"/>
  </w:num>
  <w:num w:numId="14">
    <w:abstractNumId w:val="3"/>
  </w:num>
  <w:num w:numId="15">
    <w:abstractNumId w:val="9"/>
  </w:num>
  <w:num w:numId="16">
    <w:abstractNumId w:val="24"/>
  </w:num>
  <w:num w:numId="17">
    <w:abstractNumId w:val="20"/>
  </w:num>
  <w:num w:numId="18">
    <w:abstractNumId w:val="0"/>
  </w:num>
  <w:num w:numId="19">
    <w:abstractNumId w:val="10"/>
  </w:num>
  <w:num w:numId="20">
    <w:abstractNumId w:val="7"/>
  </w:num>
  <w:num w:numId="21">
    <w:abstractNumId w:val="28"/>
  </w:num>
  <w:num w:numId="22">
    <w:abstractNumId w:val="31"/>
  </w:num>
  <w:num w:numId="23">
    <w:abstractNumId w:val="1"/>
  </w:num>
  <w:num w:numId="24">
    <w:abstractNumId w:val="14"/>
  </w:num>
  <w:num w:numId="25">
    <w:abstractNumId w:val="15"/>
  </w:num>
  <w:num w:numId="26">
    <w:abstractNumId w:val="26"/>
  </w:num>
  <w:num w:numId="27">
    <w:abstractNumId w:val="29"/>
  </w:num>
  <w:num w:numId="28">
    <w:abstractNumId w:val="27"/>
  </w:num>
  <w:num w:numId="29">
    <w:abstractNumId w:val="2"/>
  </w:num>
  <w:num w:numId="30">
    <w:abstractNumId w:val="21"/>
  </w:num>
  <w:num w:numId="31">
    <w:abstractNumId w:val="18"/>
  </w:num>
  <w:num w:numId="32">
    <w:abstractNumId w:val="32"/>
  </w:num>
  <w:num w:numId="3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66"/>
    <w:rsid w:val="00057AF6"/>
    <w:rsid w:val="000952ED"/>
    <w:rsid w:val="000B0C64"/>
    <w:rsid w:val="000D62A2"/>
    <w:rsid w:val="00115D8C"/>
    <w:rsid w:val="001406C7"/>
    <w:rsid w:val="001C68BB"/>
    <w:rsid w:val="0021649F"/>
    <w:rsid w:val="00233EAB"/>
    <w:rsid w:val="00245072"/>
    <w:rsid w:val="002479FC"/>
    <w:rsid w:val="00292923"/>
    <w:rsid w:val="002A4A97"/>
    <w:rsid w:val="002E1BAE"/>
    <w:rsid w:val="00351CED"/>
    <w:rsid w:val="00390195"/>
    <w:rsid w:val="0039638B"/>
    <w:rsid w:val="003A0CD5"/>
    <w:rsid w:val="003D0BA9"/>
    <w:rsid w:val="004134B6"/>
    <w:rsid w:val="0045443A"/>
    <w:rsid w:val="00454BE2"/>
    <w:rsid w:val="004555C1"/>
    <w:rsid w:val="00462B63"/>
    <w:rsid w:val="00467B31"/>
    <w:rsid w:val="004876F7"/>
    <w:rsid w:val="00496450"/>
    <w:rsid w:val="005227E0"/>
    <w:rsid w:val="00532DF9"/>
    <w:rsid w:val="00533669"/>
    <w:rsid w:val="00550F86"/>
    <w:rsid w:val="005F2ABC"/>
    <w:rsid w:val="00604D6F"/>
    <w:rsid w:val="00613C4A"/>
    <w:rsid w:val="00681B62"/>
    <w:rsid w:val="006941E6"/>
    <w:rsid w:val="006D3E67"/>
    <w:rsid w:val="006F7FFD"/>
    <w:rsid w:val="00751C4F"/>
    <w:rsid w:val="00767A3F"/>
    <w:rsid w:val="00782396"/>
    <w:rsid w:val="00792193"/>
    <w:rsid w:val="00852C01"/>
    <w:rsid w:val="00860380"/>
    <w:rsid w:val="00860B9C"/>
    <w:rsid w:val="0086569F"/>
    <w:rsid w:val="008D7854"/>
    <w:rsid w:val="00901480"/>
    <w:rsid w:val="009030CE"/>
    <w:rsid w:val="009A6008"/>
    <w:rsid w:val="009B0995"/>
    <w:rsid w:val="009D17E1"/>
    <w:rsid w:val="009D68BF"/>
    <w:rsid w:val="00A2266F"/>
    <w:rsid w:val="00A42318"/>
    <w:rsid w:val="00A77D16"/>
    <w:rsid w:val="00AA274B"/>
    <w:rsid w:val="00AB385B"/>
    <w:rsid w:val="00AF13AC"/>
    <w:rsid w:val="00B30A0A"/>
    <w:rsid w:val="00B41C5F"/>
    <w:rsid w:val="00B62C1B"/>
    <w:rsid w:val="00B81528"/>
    <w:rsid w:val="00BB1F3A"/>
    <w:rsid w:val="00BD16E1"/>
    <w:rsid w:val="00BF3366"/>
    <w:rsid w:val="00C125B4"/>
    <w:rsid w:val="00C23FD3"/>
    <w:rsid w:val="00C37053"/>
    <w:rsid w:val="00C57C2B"/>
    <w:rsid w:val="00D5215F"/>
    <w:rsid w:val="00D61CF0"/>
    <w:rsid w:val="00D850A2"/>
    <w:rsid w:val="00D9290B"/>
    <w:rsid w:val="00DB7BD3"/>
    <w:rsid w:val="00DF4272"/>
    <w:rsid w:val="00E27EED"/>
    <w:rsid w:val="00E34CD2"/>
    <w:rsid w:val="00E67371"/>
    <w:rsid w:val="00E97480"/>
    <w:rsid w:val="00EE724A"/>
    <w:rsid w:val="00F01143"/>
    <w:rsid w:val="00F04992"/>
    <w:rsid w:val="00F116BD"/>
    <w:rsid w:val="00F305EC"/>
    <w:rsid w:val="00F97CF7"/>
    <w:rsid w:val="00FD02F6"/>
    <w:rsid w:val="00FE5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9BA0C-CF19-47CE-863E-3208BE50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6F7F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j">
    <w:name w:val="pj"/>
    <w:basedOn w:val="a0"/>
    <w:uiPriority w:val="99"/>
    <w:rsid w:val="00BF3366"/>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19">
    <w:name w:val="s19"/>
    <w:basedOn w:val="a1"/>
    <w:rsid w:val="00BF3366"/>
    <w:rPr>
      <w:rFonts w:ascii="Times New Roman" w:hAnsi="Times New Roman" w:cs="Times New Roman" w:hint="default"/>
      <w:color w:val="008000"/>
    </w:rPr>
  </w:style>
  <w:style w:type="character" w:styleId="a4">
    <w:name w:val="annotation reference"/>
    <w:basedOn w:val="a1"/>
    <w:link w:val="30"/>
    <w:uiPriority w:val="99"/>
    <w:unhideWhenUsed/>
    <w:rsid w:val="00BF3366"/>
    <w:rPr>
      <w:sz w:val="16"/>
      <w:szCs w:val="16"/>
    </w:rPr>
  </w:style>
  <w:style w:type="paragraph" w:styleId="a5">
    <w:name w:val="annotation text"/>
    <w:basedOn w:val="a0"/>
    <w:link w:val="a6"/>
    <w:uiPriority w:val="99"/>
    <w:unhideWhenUsed/>
    <w:rsid w:val="00BF3366"/>
    <w:pPr>
      <w:spacing w:line="240" w:lineRule="auto"/>
    </w:pPr>
    <w:rPr>
      <w:sz w:val="20"/>
      <w:szCs w:val="20"/>
    </w:rPr>
  </w:style>
  <w:style w:type="character" w:customStyle="1" w:styleId="a6">
    <w:name w:val="Текст примечания Знак"/>
    <w:basedOn w:val="a1"/>
    <w:link w:val="a5"/>
    <w:uiPriority w:val="99"/>
    <w:rsid w:val="00BF3366"/>
    <w:rPr>
      <w:sz w:val="20"/>
      <w:szCs w:val="20"/>
    </w:rPr>
  </w:style>
  <w:style w:type="paragraph" w:styleId="a7">
    <w:name w:val="Balloon Text"/>
    <w:basedOn w:val="a0"/>
    <w:link w:val="a8"/>
    <w:uiPriority w:val="99"/>
    <w:semiHidden/>
    <w:unhideWhenUsed/>
    <w:rsid w:val="00BF3366"/>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BF3366"/>
    <w:rPr>
      <w:rFonts w:ascii="Tahoma" w:hAnsi="Tahoma" w:cs="Tahoma"/>
      <w:sz w:val="16"/>
      <w:szCs w:val="16"/>
    </w:rPr>
  </w:style>
  <w:style w:type="paragraph" w:styleId="a9">
    <w:name w:val="List Paragraph"/>
    <w:aliases w:val="AC List 01,маркированный,strich,2nd Tier Header,Bullets before,Elenco Normale,Heading1,Colorful List - Accent 11,Список 1,Средняя сетка 1 - Акцент 21,N_List Paragraph,References,Akapit z listą BS,List_Paragraph,Multilevel para_II,H1-1,lp1,l"/>
    <w:basedOn w:val="a0"/>
    <w:link w:val="aa"/>
    <w:uiPriority w:val="34"/>
    <w:qFormat/>
    <w:rsid w:val="00D9290B"/>
    <w:pPr>
      <w:ind w:left="720"/>
      <w:contextualSpacing/>
    </w:pPr>
  </w:style>
  <w:style w:type="character" w:customStyle="1" w:styleId="s0">
    <w:name w:val="s0"/>
    <w:rsid w:val="00F04992"/>
    <w:rPr>
      <w:rFonts w:ascii="Times New Roman" w:hAnsi="Times New Roman" w:cs="Times New Roman" w:hint="default"/>
      <w:b w:val="0"/>
      <w:bCs w:val="0"/>
      <w:i w:val="0"/>
      <w:iCs w:val="0"/>
      <w:color w:val="000000"/>
    </w:rPr>
  </w:style>
  <w:style w:type="paragraph" w:customStyle="1" w:styleId="Default">
    <w:name w:val="Default"/>
    <w:rsid w:val="001406C7"/>
    <w:pPr>
      <w:spacing w:after="0" w:line="240" w:lineRule="auto"/>
    </w:pPr>
    <w:rPr>
      <w:rFonts w:ascii="Times New Roman" w:eastAsia="Times New Roman" w:hAnsi="Times New Roman" w:cs="Times New Roman"/>
      <w:color w:val="000000"/>
      <w:sz w:val="24"/>
      <w:szCs w:val="20"/>
      <w:lang w:eastAsia="ru-RU"/>
    </w:rPr>
  </w:style>
  <w:style w:type="character" w:styleId="ab">
    <w:name w:val="Hyperlink"/>
    <w:basedOn w:val="a1"/>
    <w:uiPriority w:val="99"/>
    <w:unhideWhenUsed/>
    <w:rsid w:val="002E1BAE"/>
    <w:rPr>
      <w:color w:val="0000FF"/>
      <w:u w:val="single"/>
    </w:rPr>
  </w:style>
  <w:style w:type="paragraph" w:styleId="ac">
    <w:name w:val="annotation subject"/>
    <w:basedOn w:val="a5"/>
    <w:next w:val="a5"/>
    <w:link w:val="ad"/>
    <w:uiPriority w:val="99"/>
    <w:semiHidden/>
    <w:unhideWhenUsed/>
    <w:rsid w:val="002E1BAE"/>
    <w:rPr>
      <w:b/>
      <w:bCs/>
    </w:rPr>
  </w:style>
  <w:style w:type="character" w:customStyle="1" w:styleId="ad">
    <w:name w:val="Тема примечания Знак"/>
    <w:basedOn w:val="a6"/>
    <w:link w:val="ac"/>
    <w:uiPriority w:val="99"/>
    <w:semiHidden/>
    <w:rsid w:val="002E1BAE"/>
    <w:rPr>
      <w:b/>
      <w:bCs/>
      <w:sz w:val="20"/>
      <w:szCs w:val="20"/>
    </w:rPr>
  </w:style>
  <w:style w:type="paragraph" w:customStyle="1" w:styleId="Normaltext">
    <w:name w:val="Normal text"/>
    <w:basedOn w:val="a0"/>
    <w:link w:val="NormaltextChar"/>
    <w:rsid w:val="00DF4272"/>
    <w:pPr>
      <w:overflowPunct w:val="0"/>
      <w:autoSpaceDE w:val="0"/>
      <w:autoSpaceDN w:val="0"/>
      <w:adjustRightInd w:val="0"/>
      <w:spacing w:after="0" w:line="240" w:lineRule="atLeast"/>
      <w:ind w:right="568"/>
      <w:jc w:val="both"/>
      <w:textAlignment w:val="baseline"/>
    </w:pPr>
    <w:rPr>
      <w:rFonts w:ascii="Times New Roman" w:eastAsia="Times New Roman" w:hAnsi="Times New Roman" w:cs="Times New Roman"/>
      <w:sz w:val="24"/>
      <w:szCs w:val="24"/>
    </w:rPr>
  </w:style>
  <w:style w:type="character" w:customStyle="1" w:styleId="NormaltextChar">
    <w:name w:val="Normal text Char"/>
    <w:link w:val="Normaltext"/>
    <w:rsid w:val="00DF4272"/>
    <w:rPr>
      <w:rFonts w:ascii="Times New Roman" w:eastAsia="Times New Roman" w:hAnsi="Times New Roman" w:cs="Times New Roman"/>
      <w:sz w:val="24"/>
      <w:szCs w:val="24"/>
    </w:rPr>
  </w:style>
  <w:style w:type="paragraph" w:customStyle="1" w:styleId="pc">
    <w:name w:val="pc"/>
    <w:basedOn w:val="a0"/>
    <w:rsid w:val="00DF4272"/>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0"/>
    <w:rsid w:val="00DF4272"/>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ji">
    <w:name w:val="pji"/>
    <w:basedOn w:val="a0"/>
    <w:rsid w:val="00DF4272"/>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a">
    <w:name w:val="Абзац списка Знак"/>
    <w:aliases w:val="AC List 01 Знак,маркированный Знак,strich Знак,2nd Tier Header Знак,Bullets before Знак,Elenco Normale Знак,Heading1 Знак,Colorful List - Accent 11 Знак,Список 1 Знак,Средняя сетка 1 - Акцент 21 Знак,N_List Paragraph Знак,H1-1 Знак"/>
    <w:link w:val="a9"/>
    <w:uiPriority w:val="34"/>
    <w:qFormat/>
    <w:locked/>
    <w:rsid w:val="00292923"/>
  </w:style>
  <w:style w:type="character" w:customStyle="1" w:styleId="10">
    <w:name w:val="Заголовок 1 Знак"/>
    <w:basedOn w:val="a1"/>
    <w:link w:val="1"/>
    <w:uiPriority w:val="9"/>
    <w:rsid w:val="006F7FFD"/>
    <w:rPr>
      <w:rFonts w:asciiTheme="majorHAnsi" w:eastAsiaTheme="majorEastAsia" w:hAnsiTheme="majorHAnsi" w:cstheme="majorBidi"/>
      <w:color w:val="365F91" w:themeColor="accent1" w:themeShade="BF"/>
      <w:sz w:val="32"/>
      <w:szCs w:val="32"/>
    </w:rPr>
  </w:style>
  <w:style w:type="paragraph" w:customStyle="1" w:styleId="N1">
    <w:name w:val="N 1"/>
    <w:basedOn w:val="a0"/>
    <w:next w:val="Normaltext"/>
    <w:qFormat/>
    <w:rsid w:val="0045443A"/>
    <w:pPr>
      <w:tabs>
        <w:tab w:val="num" w:pos="747"/>
      </w:tabs>
      <w:overflowPunct w:val="0"/>
      <w:autoSpaceDE w:val="0"/>
      <w:autoSpaceDN w:val="0"/>
      <w:adjustRightInd w:val="0"/>
      <w:spacing w:before="120" w:after="120" w:line="240" w:lineRule="auto"/>
      <w:ind w:left="747" w:right="-23" w:hanging="567"/>
      <w:jc w:val="both"/>
      <w:textAlignment w:val="baseline"/>
      <w:outlineLvl w:val="2"/>
    </w:pPr>
    <w:rPr>
      <w:rFonts w:ascii="Times New Roman" w:eastAsia="Times New Roman" w:hAnsi="Times New Roman" w:cs="Times"/>
      <w:b/>
      <w:iCs/>
      <w:sz w:val="32"/>
      <w:lang w:val="en-US"/>
    </w:rPr>
  </w:style>
  <w:style w:type="paragraph" w:customStyle="1" w:styleId="30">
    <w:name w:val="Знак примечания3"/>
    <w:basedOn w:val="a0"/>
    <w:link w:val="a4"/>
    <w:uiPriority w:val="99"/>
    <w:rsid w:val="00C23FD3"/>
    <w:rPr>
      <w:sz w:val="16"/>
      <w:szCs w:val="16"/>
    </w:rPr>
  </w:style>
  <w:style w:type="character" w:styleId="ae">
    <w:name w:val="footnote reference"/>
    <w:rsid w:val="00C23FD3"/>
    <w:rPr>
      <w:rFonts w:ascii="Times New Roman" w:hAnsi="Times New Roman" w:cs="Times New Roman"/>
      <w:position w:val="6"/>
      <w:sz w:val="18"/>
      <w:szCs w:val="18"/>
    </w:rPr>
  </w:style>
  <w:style w:type="paragraph" w:styleId="a">
    <w:name w:val="List Number"/>
    <w:basedOn w:val="a0"/>
    <w:rsid w:val="00A2266F"/>
    <w:pPr>
      <w:widowControl w:val="0"/>
      <w:numPr>
        <w:numId w:val="31"/>
      </w:numPr>
      <w:spacing w:before="120" w:after="0" w:line="240" w:lineRule="auto"/>
    </w:pPr>
    <w:rPr>
      <w:rFonts w:ascii="Times New Roman" w:eastAsia="Times New Roman" w:hAnsi="Times New Roman" w:cs="Times New Roman"/>
      <w:b/>
      <w:color w:val="000000"/>
      <w:sz w:val="28"/>
      <w:szCs w:val="20"/>
      <w:lang w:eastAsia="ru-RU"/>
    </w:rPr>
  </w:style>
  <w:style w:type="paragraph" w:styleId="3">
    <w:name w:val="List Number 3"/>
    <w:basedOn w:val="a0"/>
    <w:rsid w:val="00A2266F"/>
    <w:pPr>
      <w:widowControl w:val="0"/>
      <w:numPr>
        <w:ilvl w:val="2"/>
        <w:numId w:val="31"/>
      </w:numPr>
      <w:spacing w:after="0" w:line="240" w:lineRule="auto"/>
    </w:pPr>
    <w:rPr>
      <w:rFonts w:ascii="Times New Roman" w:eastAsia="Times New Roman" w:hAnsi="Times New Roman" w:cs="Times New Roman"/>
      <w:color w:val="000000"/>
      <w:sz w:val="24"/>
      <w:szCs w:val="20"/>
      <w:lang w:eastAsia="ru-RU"/>
    </w:rPr>
  </w:style>
  <w:style w:type="paragraph" w:styleId="4">
    <w:name w:val="List Number 4"/>
    <w:basedOn w:val="a0"/>
    <w:rsid w:val="00A2266F"/>
    <w:pPr>
      <w:widowControl w:val="0"/>
      <w:numPr>
        <w:ilvl w:val="3"/>
        <w:numId w:val="31"/>
      </w:numPr>
      <w:spacing w:after="0" w:line="240" w:lineRule="auto"/>
    </w:pPr>
    <w:rPr>
      <w:rFonts w:ascii="Times New Roman" w:eastAsia="Times New Roman" w:hAnsi="Times New Roman" w:cs="Times New Roman"/>
      <w:color w:val="000000"/>
      <w:sz w:val="24"/>
      <w:szCs w:val="20"/>
      <w:lang w:eastAsia="ru-RU"/>
    </w:rPr>
  </w:style>
  <w:style w:type="paragraph" w:styleId="2">
    <w:name w:val="List Number 2"/>
    <w:basedOn w:val="a0"/>
    <w:link w:val="20"/>
    <w:rsid w:val="00A2266F"/>
    <w:pPr>
      <w:widowControl w:val="0"/>
      <w:numPr>
        <w:ilvl w:val="1"/>
        <w:numId w:val="31"/>
      </w:numPr>
      <w:spacing w:before="60" w:after="0" w:line="240" w:lineRule="auto"/>
      <w:jc w:val="both"/>
    </w:pPr>
    <w:rPr>
      <w:rFonts w:ascii="Times New Roman" w:eastAsia="Times New Roman" w:hAnsi="Times New Roman" w:cs="Times New Roman"/>
      <w:color w:val="000000"/>
      <w:sz w:val="24"/>
      <w:szCs w:val="20"/>
      <w:lang w:eastAsia="ru-RU"/>
    </w:rPr>
  </w:style>
  <w:style w:type="character" w:customStyle="1" w:styleId="20">
    <w:name w:val="Нумерованный список 2 Знак"/>
    <w:basedOn w:val="a1"/>
    <w:link w:val="2"/>
    <w:rsid w:val="00A2266F"/>
    <w:rPr>
      <w:rFonts w:ascii="Times New Roman" w:eastAsia="Times New Roman" w:hAnsi="Times New Roman" w:cs="Times New Roman"/>
      <w:color w:val="000000"/>
      <w:sz w:val="24"/>
      <w:szCs w:val="20"/>
      <w:lang w:eastAsia="ru-RU"/>
    </w:rPr>
  </w:style>
  <w:style w:type="paragraph" w:styleId="af">
    <w:name w:val="TOC Heading"/>
    <w:basedOn w:val="1"/>
    <w:next w:val="a0"/>
    <w:uiPriority w:val="39"/>
    <w:unhideWhenUsed/>
    <w:qFormat/>
    <w:rsid w:val="00B41C5F"/>
    <w:pPr>
      <w:spacing w:line="259" w:lineRule="auto"/>
      <w:outlineLvl w:val="9"/>
    </w:pPr>
    <w:rPr>
      <w:lang w:eastAsia="ru-RU"/>
    </w:rPr>
  </w:style>
  <w:style w:type="paragraph" w:styleId="11">
    <w:name w:val="toc 1"/>
    <w:basedOn w:val="a0"/>
    <w:next w:val="a0"/>
    <w:autoRedefine/>
    <w:uiPriority w:val="39"/>
    <w:unhideWhenUsed/>
    <w:rsid w:val="00B41C5F"/>
    <w:pPr>
      <w:spacing w:after="100"/>
    </w:pPr>
  </w:style>
  <w:style w:type="character" w:styleId="af0">
    <w:name w:val="FollowedHyperlink"/>
    <w:basedOn w:val="a1"/>
    <w:uiPriority w:val="99"/>
    <w:semiHidden/>
    <w:unhideWhenUsed/>
    <w:rsid w:val="00767A3F"/>
    <w:rPr>
      <w:color w:val="800080" w:themeColor="followedHyperlink"/>
      <w:u w:val="single"/>
    </w:rPr>
  </w:style>
  <w:style w:type="character" w:styleId="af1">
    <w:name w:val="Strong"/>
    <w:basedOn w:val="a1"/>
    <w:uiPriority w:val="22"/>
    <w:qFormat/>
    <w:rsid w:val="00A77D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2062">
      <w:bodyDiv w:val="1"/>
      <w:marLeft w:val="0"/>
      <w:marRight w:val="0"/>
      <w:marTop w:val="0"/>
      <w:marBottom w:val="0"/>
      <w:divBdr>
        <w:top w:val="none" w:sz="0" w:space="0" w:color="auto"/>
        <w:left w:val="none" w:sz="0" w:space="0" w:color="auto"/>
        <w:bottom w:val="none" w:sz="0" w:space="0" w:color="auto"/>
        <w:right w:val="none" w:sz="0" w:space="0" w:color="auto"/>
      </w:divBdr>
    </w:div>
    <w:div w:id="260912616">
      <w:bodyDiv w:val="1"/>
      <w:marLeft w:val="0"/>
      <w:marRight w:val="0"/>
      <w:marTop w:val="0"/>
      <w:marBottom w:val="0"/>
      <w:divBdr>
        <w:top w:val="none" w:sz="0" w:space="0" w:color="auto"/>
        <w:left w:val="none" w:sz="0" w:space="0" w:color="auto"/>
        <w:bottom w:val="none" w:sz="0" w:space="0" w:color="auto"/>
        <w:right w:val="none" w:sz="0" w:space="0" w:color="auto"/>
      </w:divBdr>
    </w:div>
    <w:div w:id="1452431964">
      <w:bodyDiv w:val="1"/>
      <w:marLeft w:val="0"/>
      <w:marRight w:val="0"/>
      <w:marTop w:val="0"/>
      <w:marBottom w:val="0"/>
      <w:divBdr>
        <w:top w:val="none" w:sz="0" w:space="0" w:color="auto"/>
        <w:left w:val="none" w:sz="0" w:space="0" w:color="auto"/>
        <w:bottom w:val="none" w:sz="0" w:space="0" w:color="auto"/>
        <w:right w:val="none" w:sz="0" w:space="0" w:color="auto"/>
      </w:divBdr>
    </w:div>
    <w:div w:id="1817262586">
      <w:bodyDiv w:val="1"/>
      <w:marLeft w:val="0"/>
      <w:marRight w:val="0"/>
      <w:marTop w:val="0"/>
      <w:marBottom w:val="0"/>
      <w:divBdr>
        <w:top w:val="none" w:sz="0" w:space="0" w:color="auto"/>
        <w:left w:val="none" w:sz="0" w:space="0" w:color="auto"/>
        <w:bottom w:val="none" w:sz="0" w:space="0" w:color="auto"/>
        <w:right w:val="none" w:sz="0" w:space="0" w:color="auto"/>
      </w:divBdr>
    </w:div>
    <w:div w:id="19959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tb-bank.kz/about/finansovye-dokumenty/finansovaya-%20otchetnost/FS_VTB_2025_ru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showData(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C9DD-7EAD-4B1C-8A91-980BDA9B5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7589</Words>
  <Characters>43263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Тугелбаев Нурбулат Иранович</dc:creator>
  <cp:keywords>, docId:CE5108B7592ADCC03664BCEAB2353DB0</cp:keywords>
  <cp:lastModifiedBy>Мамедалиева Ляззат Асанхановна</cp:lastModifiedBy>
  <cp:revision>3</cp:revision>
  <cp:lastPrinted>2026-07-01T13:15:00Z</cp:lastPrinted>
  <dcterms:created xsi:type="dcterms:W3CDTF">2026-07-14T11:16:00Z</dcterms:created>
  <dcterms:modified xsi:type="dcterms:W3CDTF">2026-07-29T12:56:00Z</dcterms:modified>
</cp:coreProperties>
</file>